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F2" w:rsidRPr="006F2323" w:rsidRDefault="0073106E" w:rsidP="006F2323">
      <w:pPr>
        <w:widowControl w:val="0"/>
        <w:autoSpaceDE w:val="0"/>
        <w:autoSpaceDN w:val="0"/>
        <w:adjustRightInd w:val="0"/>
        <w:ind w:left="-720"/>
        <w:jc w:val="center"/>
        <w:rPr>
          <w:b/>
          <w:bCs/>
          <w:sz w:val="32"/>
          <w:szCs w:val="32"/>
        </w:rPr>
      </w:pPr>
      <w:r w:rsidRPr="006F2323">
        <w:rPr>
          <w:b/>
          <w:bCs/>
          <w:sz w:val="32"/>
          <w:szCs w:val="32"/>
        </w:rPr>
        <w:t>И</w:t>
      </w:r>
      <w:r w:rsidR="001A7860" w:rsidRPr="006F2323">
        <w:rPr>
          <w:b/>
          <w:bCs/>
          <w:sz w:val="32"/>
          <w:szCs w:val="32"/>
        </w:rPr>
        <w:t>нформаци</w:t>
      </w:r>
      <w:r w:rsidRPr="006F2323">
        <w:rPr>
          <w:b/>
          <w:bCs/>
          <w:sz w:val="32"/>
          <w:szCs w:val="32"/>
        </w:rPr>
        <w:t xml:space="preserve">я </w:t>
      </w:r>
      <w:r w:rsidR="001A7860" w:rsidRPr="006F2323">
        <w:rPr>
          <w:b/>
          <w:bCs/>
          <w:sz w:val="32"/>
          <w:szCs w:val="32"/>
        </w:rPr>
        <w:t>о практике достижения наилучш</w:t>
      </w:r>
      <w:r w:rsidRPr="006F2323">
        <w:rPr>
          <w:b/>
          <w:bCs/>
          <w:sz w:val="32"/>
          <w:szCs w:val="32"/>
        </w:rPr>
        <w:t>их</w:t>
      </w:r>
    </w:p>
    <w:p w:rsidR="0073106E" w:rsidRPr="006F2323" w:rsidRDefault="001A7860" w:rsidP="006F2323">
      <w:pPr>
        <w:widowControl w:val="0"/>
        <w:autoSpaceDE w:val="0"/>
        <w:autoSpaceDN w:val="0"/>
        <w:adjustRightInd w:val="0"/>
        <w:ind w:left="-720"/>
        <w:jc w:val="center"/>
        <w:rPr>
          <w:b/>
          <w:bCs/>
          <w:sz w:val="32"/>
          <w:szCs w:val="32"/>
        </w:rPr>
      </w:pPr>
      <w:r w:rsidRPr="006F2323">
        <w:rPr>
          <w:b/>
          <w:bCs/>
          <w:sz w:val="32"/>
          <w:szCs w:val="32"/>
        </w:rPr>
        <w:t>значени</w:t>
      </w:r>
      <w:r w:rsidR="0073106E" w:rsidRPr="006F2323">
        <w:rPr>
          <w:b/>
          <w:bCs/>
          <w:sz w:val="32"/>
          <w:szCs w:val="32"/>
        </w:rPr>
        <w:t>й</w:t>
      </w:r>
      <w:r w:rsidRPr="006F2323">
        <w:rPr>
          <w:b/>
          <w:bCs/>
          <w:sz w:val="32"/>
          <w:szCs w:val="32"/>
        </w:rPr>
        <w:t xml:space="preserve"> показател</w:t>
      </w:r>
      <w:r w:rsidR="0073106E" w:rsidRPr="006F2323">
        <w:rPr>
          <w:b/>
          <w:bCs/>
          <w:sz w:val="32"/>
          <w:szCs w:val="32"/>
        </w:rPr>
        <w:t>ей</w:t>
      </w:r>
      <w:r w:rsidR="006233BA" w:rsidRPr="006F2323">
        <w:rPr>
          <w:b/>
          <w:bCs/>
          <w:sz w:val="32"/>
          <w:szCs w:val="32"/>
        </w:rPr>
        <w:t xml:space="preserve"> </w:t>
      </w:r>
      <w:r w:rsidRPr="006F2323">
        <w:rPr>
          <w:b/>
          <w:bCs/>
          <w:sz w:val="32"/>
          <w:szCs w:val="32"/>
        </w:rPr>
        <w:t>за 201</w:t>
      </w:r>
      <w:r w:rsidR="00010433" w:rsidRPr="006F2323">
        <w:rPr>
          <w:b/>
          <w:bCs/>
          <w:sz w:val="32"/>
          <w:szCs w:val="32"/>
        </w:rPr>
        <w:t>9</w:t>
      </w:r>
      <w:r w:rsidRPr="006F2323">
        <w:rPr>
          <w:b/>
          <w:bCs/>
          <w:sz w:val="32"/>
          <w:szCs w:val="32"/>
        </w:rPr>
        <w:t xml:space="preserve"> год</w:t>
      </w:r>
    </w:p>
    <w:p w:rsidR="009E2072" w:rsidRPr="006F2323" w:rsidRDefault="009E2072" w:rsidP="006F2323">
      <w:pPr>
        <w:widowControl w:val="0"/>
        <w:autoSpaceDE w:val="0"/>
        <w:autoSpaceDN w:val="0"/>
        <w:adjustRightInd w:val="0"/>
        <w:ind w:left="-720" w:firstLine="709"/>
        <w:jc w:val="center"/>
        <w:rPr>
          <w:bCs/>
          <w:sz w:val="28"/>
          <w:szCs w:val="28"/>
        </w:rPr>
      </w:pPr>
    </w:p>
    <w:p w:rsidR="00525901" w:rsidRPr="006F2323" w:rsidRDefault="00525901" w:rsidP="006F2323">
      <w:pPr>
        <w:widowControl w:val="0"/>
        <w:autoSpaceDE w:val="0"/>
        <w:autoSpaceDN w:val="0"/>
        <w:adjustRightInd w:val="0"/>
        <w:ind w:left="-720"/>
        <w:jc w:val="center"/>
        <w:outlineLvl w:val="1"/>
        <w:rPr>
          <w:b/>
          <w:i/>
          <w:sz w:val="28"/>
          <w:szCs w:val="28"/>
        </w:rPr>
      </w:pPr>
      <w:r w:rsidRPr="006F2323">
        <w:rPr>
          <w:b/>
          <w:i/>
          <w:sz w:val="28"/>
          <w:szCs w:val="28"/>
        </w:rPr>
        <w:t>Показатель «Объем инвестиций в основной капитал (за исключением</w:t>
      </w:r>
    </w:p>
    <w:p w:rsidR="00525901" w:rsidRPr="006F2323" w:rsidRDefault="00525901" w:rsidP="006F2323">
      <w:pPr>
        <w:widowControl w:val="0"/>
        <w:autoSpaceDE w:val="0"/>
        <w:autoSpaceDN w:val="0"/>
        <w:adjustRightInd w:val="0"/>
        <w:ind w:left="-720"/>
        <w:jc w:val="center"/>
        <w:rPr>
          <w:b/>
          <w:i/>
          <w:sz w:val="28"/>
          <w:szCs w:val="28"/>
        </w:rPr>
      </w:pPr>
      <w:r w:rsidRPr="006F2323">
        <w:rPr>
          <w:b/>
          <w:i/>
          <w:sz w:val="28"/>
          <w:szCs w:val="28"/>
        </w:rPr>
        <w:t xml:space="preserve">бюджетных средств) в расчете на одного жителя» </w:t>
      </w:r>
    </w:p>
    <w:p w:rsidR="00DF26D1" w:rsidRPr="006F2323" w:rsidRDefault="00DF26D1" w:rsidP="006F2323">
      <w:pPr>
        <w:autoSpaceDE w:val="0"/>
        <w:autoSpaceDN w:val="0"/>
        <w:ind w:left="-720" w:firstLine="851"/>
        <w:jc w:val="both"/>
        <w:rPr>
          <w:sz w:val="28"/>
          <w:szCs w:val="28"/>
        </w:rPr>
      </w:pPr>
      <w:r w:rsidRPr="006F2323">
        <w:rPr>
          <w:sz w:val="28"/>
          <w:szCs w:val="28"/>
        </w:rPr>
        <w:t>Объем инвестиций в основной капитал (за исключением бюджетных средств) в расчете на одного жителя в 201</w:t>
      </w:r>
      <w:r w:rsidR="00DC32C0" w:rsidRPr="006F2323">
        <w:rPr>
          <w:sz w:val="28"/>
          <w:szCs w:val="28"/>
        </w:rPr>
        <w:t>9</w:t>
      </w:r>
      <w:r w:rsidRPr="006F2323">
        <w:rPr>
          <w:sz w:val="28"/>
          <w:szCs w:val="28"/>
        </w:rPr>
        <w:t xml:space="preserve"> году составил  3</w:t>
      </w:r>
      <w:r w:rsidR="00DC32C0" w:rsidRPr="006F2323">
        <w:rPr>
          <w:sz w:val="28"/>
          <w:szCs w:val="28"/>
        </w:rPr>
        <w:t> 6</w:t>
      </w:r>
      <w:r w:rsidRPr="006F2323">
        <w:rPr>
          <w:sz w:val="28"/>
          <w:szCs w:val="28"/>
        </w:rPr>
        <w:t>1</w:t>
      </w:r>
      <w:r w:rsidR="00DC32C0" w:rsidRPr="006F2323">
        <w:rPr>
          <w:sz w:val="28"/>
          <w:szCs w:val="28"/>
        </w:rPr>
        <w:t>2 113</w:t>
      </w:r>
      <w:r w:rsidRPr="006F2323">
        <w:rPr>
          <w:sz w:val="28"/>
          <w:szCs w:val="28"/>
        </w:rPr>
        <w:t>,0 руб. (201</w:t>
      </w:r>
      <w:r w:rsidR="00DC32C0" w:rsidRPr="006F2323">
        <w:rPr>
          <w:sz w:val="28"/>
          <w:szCs w:val="28"/>
        </w:rPr>
        <w:t>9</w:t>
      </w:r>
      <w:r w:rsidRPr="006F2323">
        <w:rPr>
          <w:sz w:val="28"/>
          <w:szCs w:val="28"/>
        </w:rPr>
        <w:t xml:space="preserve"> год – 3</w:t>
      </w:r>
      <w:r w:rsidR="00DC32C0" w:rsidRPr="006F2323">
        <w:rPr>
          <w:sz w:val="28"/>
          <w:szCs w:val="28"/>
        </w:rPr>
        <w:t> 484 292</w:t>
      </w:r>
      <w:r w:rsidRPr="006F2323">
        <w:rPr>
          <w:sz w:val="28"/>
          <w:szCs w:val="28"/>
        </w:rPr>
        <w:t xml:space="preserve">,0 руб.). </w:t>
      </w:r>
      <w:r w:rsidR="00F56723" w:rsidRPr="006F2323">
        <w:rPr>
          <w:sz w:val="28"/>
          <w:szCs w:val="28"/>
        </w:rPr>
        <w:t xml:space="preserve">Основную долю в структуре </w:t>
      </w:r>
      <w:r w:rsidRPr="006F2323">
        <w:rPr>
          <w:sz w:val="28"/>
          <w:szCs w:val="28"/>
        </w:rPr>
        <w:t>инвестиций - 99,</w:t>
      </w:r>
      <w:r w:rsidR="00DC32C0" w:rsidRPr="006F2323">
        <w:rPr>
          <w:sz w:val="28"/>
          <w:szCs w:val="28"/>
        </w:rPr>
        <w:t>8</w:t>
      </w:r>
      <w:r w:rsidRPr="006F2323">
        <w:rPr>
          <w:sz w:val="28"/>
          <w:szCs w:val="28"/>
        </w:rPr>
        <w:t xml:space="preserve"> % </w:t>
      </w:r>
      <w:r w:rsidR="00F56723" w:rsidRPr="006F2323">
        <w:rPr>
          <w:sz w:val="28"/>
          <w:szCs w:val="28"/>
        </w:rPr>
        <w:t xml:space="preserve">занимают </w:t>
      </w:r>
      <w:r w:rsidRPr="006F2323">
        <w:rPr>
          <w:sz w:val="28"/>
          <w:szCs w:val="28"/>
        </w:rPr>
        <w:t>собственны</w:t>
      </w:r>
      <w:r w:rsidR="00F56723" w:rsidRPr="006F2323">
        <w:rPr>
          <w:sz w:val="28"/>
          <w:szCs w:val="28"/>
        </w:rPr>
        <w:t>е</w:t>
      </w:r>
      <w:r w:rsidRPr="006F2323">
        <w:rPr>
          <w:sz w:val="28"/>
          <w:szCs w:val="28"/>
        </w:rPr>
        <w:t xml:space="preserve"> средств</w:t>
      </w:r>
      <w:r w:rsidR="00F56723" w:rsidRPr="006F2323">
        <w:rPr>
          <w:sz w:val="28"/>
          <w:szCs w:val="28"/>
        </w:rPr>
        <w:t>а</w:t>
      </w:r>
      <w:r w:rsidRPr="006F2323">
        <w:rPr>
          <w:sz w:val="28"/>
          <w:szCs w:val="28"/>
        </w:rPr>
        <w:t xml:space="preserve"> </w:t>
      </w:r>
      <w:r w:rsidR="00F56723" w:rsidRPr="006F2323">
        <w:rPr>
          <w:sz w:val="28"/>
          <w:szCs w:val="28"/>
        </w:rPr>
        <w:t>предприятий</w:t>
      </w:r>
      <w:r w:rsidRPr="006F2323">
        <w:rPr>
          <w:sz w:val="28"/>
          <w:szCs w:val="28"/>
        </w:rPr>
        <w:t>.</w:t>
      </w:r>
      <w:r w:rsidRPr="006F2323">
        <w:t xml:space="preserve"> </w:t>
      </w:r>
    </w:p>
    <w:p w:rsidR="00DF26D1" w:rsidRPr="006F2323" w:rsidRDefault="00DF26D1" w:rsidP="006F2323">
      <w:pPr>
        <w:autoSpaceDE w:val="0"/>
        <w:autoSpaceDN w:val="0"/>
        <w:ind w:left="-720" w:firstLine="851"/>
        <w:jc w:val="both"/>
        <w:rPr>
          <w:sz w:val="28"/>
          <w:szCs w:val="28"/>
        </w:rPr>
      </w:pPr>
      <w:r w:rsidRPr="006F2323">
        <w:rPr>
          <w:rStyle w:val="a9"/>
          <w:b w:val="0"/>
          <w:sz w:val="28"/>
          <w:szCs w:val="28"/>
        </w:rPr>
        <w:t>Наибольший удельный вес в структуре инвестиций в разрезе видов экономической деятельности занимают инвестиции по виду экономической деятельности</w:t>
      </w:r>
      <w:r w:rsidRPr="006F2323">
        <w:rPr>
          <w:rStyle w:val="a9"/>
          <w:sz w:val="28"/>
          <w:szCs w:val="28"/>
        </w:rPr>
        <w:t xml:space="preserve"> </w:t>
      </w:r>
      <w:r w:rsidRPr="006F2323">
        <w:rPr>
          <w:sz w:val="28"/>
          <w:szCs w:val="28"/>
        </w:rPr>
        <w:t xml:space="preserve">«Добыча полезных ископаемых» – </w:t>
      </w:r>
      <w:r w:rsidR="00DC32C0" w:rsidRPr="006F2323">
        <w:rPr>
          <w:sz w:val="28"/>
          <w:szCs w:val="28"/>
        </w:rPr>
        <w:t>97,1</w:t>
      </w:r>
      <w:r w:rsidRPr="006F2323">
        <w:rPr>
          <w:sz w:val="28"/>
          <w:szCs w:val="28"/>
        </w:rPr>
        <w:t xml:space="preserve">%. Инвестиционные программы данной отрасли направлены на развитие и модернизацию производственных мощностей. </w:t>
      </w:r>
    </w:p>
    <w:p w:rsidR="004F3165" w:rsidRPr="006F2323" w:rsidRDefault="004E0E34" w:rsidP="006F2323">
      <w:pPr>
        <w:ind w:left="-720" w:firstLine="851"/>
        <w:jc w:val="both"/>
        <w:rPr>
          <w:sz w:val="28"/>
          <w:szCs w:val="28"/>
        </w:rPr>
      </w:pPr>
      <w:r w:rsidRPr="006F2323">
        <w:rPr>
          <w:sz w:val="28"/>
          <w:szCs w:val="28"/>
        </w:rPr>
        <w:t xml:space="preserve">Одним из важнейших направлений социально-экономического развития района, является привлечение инвестиций в экономику района. </w:t>
      </w:r>
    </w:p>
    <w:p w:rsidR="004F3165" w:rsidRPr="006F2323" w:rsidRDefault="004F3165" w:rsidP="006F2323">
      <w:pPr>
        <w:ind w:left="-720" w:firstLine="851"/>
        <w:jc w:val="both"/>
        <w:rPr>
          <w:sz w:val="28"/>
          <w:szCs w:val="28"/>
        </w:rPr>
      </w:pPr>
      <w:r w:rsidRPr="006F2323">
        <w:rPr>
          <w:sz w:val="28"/>
          <w:szCs w:val="28"/>
        </w:rPr>
        <w:t>Администрацией района осуществляется ряд мероприятий, направленных на улучшение инвестиционного климата и конкуренции:</w:t>
      </w:r>
    </w:p>
    <w:p w:rsidR="004F3165" w:rsidRPr="006F2323" w:rsidRDefault="004F3165" w:rsidP="006F2323">
      <w:pPr>
        <w:ind w:left="-720" w:firstLine="851"/>
        <w:jc w:val="both"/>
        <w:rPr>
          <w:sz w:val="28"/>
          <w:szCs w:val="28"/>
        </w:rPr>
      </w:pPr>
      <w:r w:rsidRPr="006F2323">
        <w:rPr>
          <w:sz w:val="28"/>
          <w:szCs w:val="28"/>
        </w:rPr>
        <w:t>- реализуется «дорожная карта» по улучшению состояния инвестиционного климата в районе;</w:t>
      </w:r>
    </w:p>
    <w:p w:rsidR="004F3165" w:rsidRPr="006F2323" w:rsidRDefault="004F3165" w:rsidP="006F2323">
      <w:pPr>
        <w:ind w:left="-720" w:firstLine="851"/>
        <w:jc w:val="both"/>
        <w:rPr>
          <w:sz w:val="28"/>
          <w:szCs w:val="28"/>
        </w:rPr>
      </w:pPr>
      <w:r w:rsidRPr="006F2323">
        <w:rPr>
          <w:sz w:val="28"/>
          <w:szCs w:val="28"/>
        </w:rPr>
        <w:t xml:space="preserve">- улучшено наполнение Инвестиционного портала ХМАО-Югры и района, предприниматели района имеют возможность получить информацию на официальном сайте в полном объеме; </w:t>
      </w:r>
    </w:p>
    <w:p w:rsidR="004F3165" w:rsidRPr="006F2323" w:rsidRDefault="004F3165" w:rsidP="006F2323">
      <w:pPr>
        <w:ind w:left="-720" w:firstLine="851"/>
        <w:jc w:val="both"/>
        <w:rPr>
          <w:sz w:val="28"/>
          <w:szCs w:val="28"/>
        </w:rPr>
      </w:pPr>
      <w:r w:rsidRPr="006F2323">
        <w:rPr>
          <w:sz w:val="28"/>
          <w:szCs w:val="28"/>
        </w:rPr>
        <w:t>- заключено 37 инвестиционных соглашений, 257 соглашений и договоров на предоставление муниципальных мер поддержки, 57 договоров аренды с инвестиционными обязательствами;</w:t>
      </w:r>
    </w:p>
    <w:p w:rsidR="004F3165" w:rsidRPr="006F2323" w:rsidRDefault="004F3165" w:rsidP="006F2323">
      <w:pPr>
        <w:ind w:left="-720" w:firstLine="851"/>
        <w:jc w:val="both"/>
        <w:rPr>
          <w:sz w:val="28"/>
          <w:szCs w:val="28"/>
        </w:rPr>
      </w:pPr>
      <w:r w:rsidRPr="006F2323">
        <w:rPr>
          <w:sz w:val="28"/>
          <w:szCs w:val="28"/>
        </w:rPr>
        <w:t xml:space="preserve">- продолжает свою работу Совет по инвестиционной деятельности, в составе которого более 50 % представителей предпринимательского сообщества, доля вопросов, внесенных предпринимательским сообществом составляет 20%. </w:t>
      </w:r>
    </w:p>
    <w:p w:rsidR="004F3165" w:rsidRPr="006F2323" w:rsidRDefault="004F3165" w:rsidP="006F2323">
      <w:pPr>
        <w:ind w:left="-720" w:firstLine="709"/>
        <w:jc w:val="both"/>
        <w:rPr>
          <w:rFonts w:eastAsia="Calibri"/>
          <w:spacing w:val="2"/>
          <w:sz w:val="28"/>
          <w:szCs w:val="28"/>
          <w:shd w:val="clear" w:color="auto" w:fill="FFFFFF"/>
        </w:rPr>
      </w:pPr>
      <w:r w:rsidRPr="006F2323">
        <w:rPr>
          <w:color w:val="000000"/>
          <w:sz w:val="28"/>
          <w:szCs w:val="28"/>
        </w:rPr>
        <w:t xml:space="preserve">В рейтинге муниципальных образований Ханты-Мансийского автономного округа – Югры по обеспечению благоприятного инвестиционного климата и содействию развитию конкуренции за 2019 год Нижневартовский район улучшил свою позицию на 8 пунктов относительно предыдущего года и занял 3 место в </w:t>
      </w:r>
      <w:r w:rsidRPr="006F2323">
        <w:rPr>
          <w:rFonts w:eastAsia="Calibri"/>
          <w:spacing w:val="2"/>
          <w:sz w:val="28"/>
          <w:szCs w:val="28"/>
          <w:shd w:val="clear" w:color="auto" w:fill="FFFFFF"/>
        </w:rPr>
        <w:t>группе «В», как муниципальное образование с хорошими условиями предпринимательской и инвестиционной деятельности, хорошим уровнем развития конкуренции.</w:t>
      </w:r>
    </w:p>
    <w:p w:rsidR="004F3165" w:rsidRPr="006F2323" w:rsidRDefault="004F3165" w:rsidP="006F2323">
      <w:pPr>
        <w:ind w:left="-720" w:firstLine="426"/>
        <w:jc w:val="both"/>
        <w:rPr>
          <w:sz w:val="28"/>
          <w:szCs w:val="28"/>
        </w:rPr>
      </w:pPr>
      <w:r w:rsidRPr="006F2323">
        <w:rPr>
          <w:rFonts w:eastAsia="Calibri"/>
          <w:spacing w:val="2"/>
          <w:sz w:val="28"/>
          <w:szCs w:val="28"/>
          <w:shd w:val="clear" w:color="auto" w:fill="FFFFFF"/>
        </w:rPr>
        <w:t xml:space="preserve">     </w:t>
      </w:r>
      <w:r w:rsidRPr="006F2323">
        <w:rPr>
          <w:sz w:val="28"/>
          <w:szCs w:val="28"/>
        </w:rPr>
        <w:t xml:space="preserve">По результатам рейтинга муниципальных образований ХМАО-Югры по качеству проведения ОРВ, экспертизы и ОФВ  за 2019 год Нижневартовский район  занял 3 место и вошел в 1 </w:t>
      </w:r>
      <w:r w:rsidRPr="006F2323">
        <w:rPr>
          <w:spacing w:val="2"/>
          <w:sz w:val="28"/>
          <w:szCs w:val="28"/>
        </w:rPr>
        <w:t>группу ранжирования муниципальных образований «С высшим уровнем».</w:t>
      </w:r>
    </w:p>
    <w:p w:rsidR="004F3165" w:rsidRPr="006F2323" w:rsidRDefault="004F3165" w:rsidP="006F2323">
      <w:pPr>
        <w:ind w:left="-720" w:firstLine="851"/>
        <w:jc w:val="both"/>
        <w:rPr>
          <w:sz w:val="28"/>
          <w:szCs w:val="28"/>
        </w:rPr>
      </w:pPr>
      <w:r w:rsidRPr="006F2323">
        <w:rPr>
          <w:sz w:val="28"/>
          <w:szCs w:val="28"/>
        </w:rPr>
        <w:t xml:space="preserve">В рамках реализации соглашения о сотрудничестве между Агентством стратегических инициатив по продвижению новых проектов и Правительством Ханты-Мансийского автономного округа Югры на территории района внедряется успешная практика «Реализация энергосервисных контрактов, направленных на энергосбережение». С девятью общеобразовательными учреждениями района Излучинска, Ваты, Ларьяка, Новоаганска, Покура заключено 10 энергосервисных контрактов на установку автоматизированных индивидуальных тепловых пунктов и на </w:t>
      </w:r>
      <w:r w:rsidRPr="006F2323">
        <w:rPr>
          <w:sz w:val="28"/>
          <w:szCs w:val="28"/>
        </w:rPr>
        <w:lastRenderedPageBreak/>
        <w:t>внутреннее освещение. В результате энергосберегающих мероприятий снижено потребление тепловой энергии в учреждениях в денежном эквиваленте на 721,5 тыс. руб.</w:t>
      </w:r>
    </w:p>
    <w:p w:rsidR="004F3165" w:rsidRPr="006F2323" w:rsidRDefault="004F3165" w:rsidP="006F2323">
      <w:pPr>
        <w:ind w:left="-720"/>
        <w:jc w:val="both"/>
        <w:rPr>
          <w:sz w:val="28"/>
          <w:szCs w:val="28"/>
        </w:rPr>
      </w:pPr>
      <w:r w:rsidRPr="006F2323">
        <w:rPr>
          <w:sz w:val="28"/>
          <w:szCs w:val="28"/>
        </w:rPr>
        <w:t xml:space="preserve">        Для создания благоприятного инвестиционного климата в Нижневартовском районе сформирован перечень из 50 инвестиционных проектов, реализованных, реализуемых и планируемых к реализации за счет собственных средств инвесторов, на общую сумму более 4 млрд. руб. Наибольшая доля проектов – в строительстве жилья и сфере сельского хозяйства. </w:t>
      </w:r>
    </w:p>
    <w:p w:rsidR="00DF26D1" w:rsidRPr="006F2323" w:rsidRDefault="00DF26D1" w:rsidP="006F2323">
      <w:pPr>
        <w:ind w:left="-720" w:firstLine="851"/>
        <w:jc w:val="both"/>
        <w:rPr>
          <w:sz w:val="28"/>
          <w:szCs w:val="28"/>
        </w:rPr>
      </w:pPr>
    </w:p>
    <w:p w:rsidR="009A30C0" w:rsidRPr="006F2323" w:rsidRDefault="009A30C0" w:rsidP="006F2323">
      <w:pPr>
        <w:ind w:left="-720" w:firstLine="851"/>
        <w:jc w:val="center"/>
        <w:rPr>
          <w:b/>
          <w:i/>
          <w:sz w:val="28"/>
          <w:szCs w:val="28"/>
        </w:rPr>
      </w:pPr>
      <w:r w:rsidRPr="006F2323">
        <w:rPr>
          <w:b/>
          <w:i/>
          <w:sz w:val="28"/>
          <w:szCs w:val="28"/>
        </w:rPr>
        <w:t>Показатель «Для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754DEC" w:rsidRPr="006F2323" w:rsidRDefault="0017061C" w:rsidP="006F2323">
      <w:pPr>
        <w:ind w:left="-720" w:firstLine="851"/>
        <w:jc w:val="both"/>
        <w:rPr>
          <w:sz w:val="28"/>
          <w:szCs w:val="28"/>
        </w:rPr>
      </w:pPr>
      <w:r w:rsidRPr="006F2323">
        <w:rPr>
          <w:sz w:val="28"/>
          <w:szCs w:val="28"/>
        </w:rPr>
        <w:t>По данным Единого реестра субъектов малого и среднего предпринимательства на 01.01.20</w:t>
      </w:r>
      <w:r w:rsidR="00EC45D4" w:rsidRPr="006F2323">
        <w:rPr>
          <w:sz w:val="28"/>
          <w:szCs w:val="28"/>
        </w:rPr>
        <w:t>20</w:t>
      </w:r>
      <w:r w:rsidRPr="006F2323">
        <w:rPr>
          <w:sz w:val="28"/>
          <w:szCs w:val="28"/>
        </w:rPr>
        <w:t xml:space="preserve"> н</w:t>
      </w:r>
      <w:r w:rsidR="00BD1CF2" w:rsidRPr="006F2323">
        <w:rPr>
          <w:sz w:val="28"/>
          <w:szCs w:val="28"/>
        </w:rPr>
        <w:t>а территории района зарегистрировано 8</w:t>
      </w:r>
      <w:r w:rsidR="00EC45D4" w:rsidRPr="006F2323">
        <w:rPr>
          <w:sz w:val="28"/>
          <w:szCs w:val="28"/>
        </w:rPr>
        <w:t>64</w:t>
      </w:r>
      <w:r w:rsidR="00BD1CF2" w:rsidRPr="006F2323">
        <w:rPr>
          <w:sz w:val="28"/>
          <w:szCs w:val="28"/>
        </w:rPr>
        <w:t xml:space="preserve"> субъект</w:t>
      </w:r>
      <w:r w:rsidR="00EC45D4" w:rsidRPr="006F2323">
        <w:rPr>
          <w:sz w:val="28"/>
          <w:szCs w:val="28"/>
        </w:rPr>
        <w:t>а</w:t>
      </w:r>
      <w:r w:rsidR="00BD1CF2" w:rsidRPr="006F2323">
        <w:rPr>
          <w:sz w:val="28"/>
          <w:szCs w:val="28"/>
        </w:rPr>
        <w:t xml:space="preserve"> малого и среднего предпринимательства</w:t>
      </w:r>
      <w:r w:rsidRPr="006F2323">
        <w:rPr>
          <w:sz w:val="28"/>
          <w:szCs w:val="28"/>
        </w:rPr>
        <w:t xml:space="preserve">, </w:t>
      </w:r>
      <w:r w:rsidR="004912E0" w:rsidRPr="006F2323">
        <w:rPr>
          <w:sz w:val="28"/>
          <w:szCs w:val="28"/>
        </w:rPr>
        <w:t xml:space="preserve">по оценке численность работающих </w:t>
      </w:r>
      <w:r w:rsidR="006F2323">
        <w:rPr>
          <w:sz w:val="28"/>
          <w:szCs w:val="28"/>
        </w:rPr>
        <w:t>в малом бизнесе</w:t>
      </w:r>
      <w:r w:rsidR="004912E0" w:rsidRPr="006F2323">
        <w:rPr>
          <w:sz w:val="28"/>
          <w:szCs w:val="28"/>
        </w:rPr>
        <w:t>– 3,836 тыс. человек.</w:t>
      </w:r>
      <w:r w:rsidR="00754DEC" w:rsidRPr="006F2323">
        <w:rPr>
          <w:sz w:val="28"/>
          <w:szCs w:val="28"/>
        </w:rPr>
        <w:t xml:space="preserve"> </w:t>
      </w:r>
    </w:p>
    <w:p w:rsidR="0080620A" w:rsidRPr="006F2323" w:rsidRDefault="00EC45D4" w:rsidP="006F2323">
      <w:pPr>
        <w:ind w:left="-720" w:firstLine="851"/>
        <w:jc w:val="both"/>
        <w:rPr>
          <w:bCs/>
          <w:color w:val="000000"/>
          <w:sz w:val="28"/>
          <w:szCs w:val="28"/>
        </w:rPr>
      </w:pPr>
      <w:r w:rsidRPr="006F2323">
        <w:rPr>
          <w:sz w:val="28"/>
          <w:szCs w:val="28"/>
        </w:rPr>
        <w:t>За счет реализации на территории района программы поддержки предпринимательства, строительства и модернизации животноводческих ферм крестьянско-фермерскими хозяйствами доля среднесписочной численности работников малых и средних предприятий в среднесписочной численности работников всех предприятий в 2019 году составила 8,2% (2018 год – 8,2%). М</w:t>
      </w:r>
      <w:r w:rsidR="00754DEC" w:rsidRPr="006F2323">
        <w:rPr>
          <w:sz w:val="28"/>
          <w:szCs w:val="28"/>
        </w:rPr>
        <w:t>униципальн</w:t>
      </w:r>
      <w:r w:rsidRPr="006F2323">
        <w:rPr>
          <w:sz w:val="28"/>
          <w:szCs w:val="28"/>
        </w:rPr>
        <w:t>ая</w:t>
      </w:r>
      <w:r w:rsidR="00754DEC" w:rsidRPr="006F2323">
        <w:rPr>
          <w:sz w:val="28"/>
          <w:szCs w:val="28"/>
        </w:rPr>
        <w:t xml:space="preserve"> программ</w:t>
      </w:r>
      <w:r w:rsidRPr="006F2323">
        <w:rPr>
          <w:sz w:val="28"/>
          <w:szCs w:val="28"/>
        </w:rPr>
        <w:t>а</w:t>
      </w:r>
      <w:r w:rsidR="00754DEC" w:rsidRPr="006F2323">
        <w:rPr>
          <w:sz w:val="28"/>
          <w:szCs w:val="28"/>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E629B3" w:rsidRPr="006F2323">
        <w:rPr>
          <w:sz w:val="28"/>
          <w:szCs w:val="28"/>
        </w:rPr>
        <w:t>»</w:t>
      </w:r>
      <w:r w:rsidRPr="006F2323">
        <w:rPr>
          <w:sz w:val="28"/>
          <w:szCs w:val="28"/>
        </w:rPr>
        <w:t xml:space="preserve"> </w:t>
      </w:r>
      <w:r w:rsidR="0017061C" w:rsidRPr="006F2323">
        <w:rPr>
          <w:sz w:val="28"/>
          <w:szCs w:val="28"/>
        </w:rPr>
        <w:t xml:space="preserve"> включает в себя широкий спектр направлений, среди которых приоритетное значение имеют финан</w:t>
      </w:r>
      <w:r w:rsidR="0017061C" w:rsidRPr="006F2323">
        <w:rPr>
          <w:bCs/>
          <w:color w:val="000000"/>
          <w:sz w:val="28"/>
          <w:szCs w:val="28"/>
        </w:rPr>
        <w:t>сов</w:t>
      </w:r>
      <w:r w:rsidR="001F7130" w:rsidRPr="006F2323">
        <w:rPr>
          <w:bCs/>
          <w:color w:val="000000"/>
          <w:sz w:val="28"/>
          <w:szCs w:val="28"/>
        </w:rPr>
        <w:t>ая</w:t>
      </w:r>
      <w:r w:rsidR="0017061C" w:rsidRPr="006F2323">
        <w:rPr>
          <w:bCs/>
          <w:color w:val="000000"/>
          <w:sz w:val="28"/>
          <w:szCs w:val="28"/>
        </w:rPr>
        <w:t xml:space="preserve"> поддержк</w:t>
      </w:r>
      <w:r w:rsidR="001F7130" w:rsidRPr="006F2323">
        <w:rPr>
          <w:bCs/>
          <w:color w:val="000000"/>
          <w:sz w:val="28"/>
          <w:szCs w:val="28"/>
        </w:rPr>
        <w:t>а</w:t>
      </w:r>
      <w:r w:rsidR="0017061C" w:rsidRPr="006F2323">
        <w:rPr>
          <w:bCs/>
          <w:color w:val="000000"/>
          <w:sz w:val="28"/>
          <w:szCs w:val="28"/>
        </w:rPr>
        <w:t xml:space="preserve"> представителей малого и среднего предпринимательства,</w:t>
      </w:r>
      <w:r w:rsidR="0017061C" w:rsidRPr="006F2323">
        <w:rPr>
          <w:sz w:val="28"/>
          <w:szCs w:val="28"/>
        </w:rPr>
        <w:t xml:space="preserve"> </w:t>
      </w:r>
      <w:r w:rsidR="0080620A" w:rsidRPr="006F2323">
        <w:rPr>
          <w:sz w:val="28"/>
          <w:szCs w:val="28"/>
        </w:rPr>
        <w:t>р</w:t>
      </w:r>
      <w:r w:rsidR="0080620A" w:rsidRPr="006F2323">
        <w:rPr>
          <w:bCs/>
          <w:color w:val="000000"/>
          <w:sz w:val="28"/>
          <w:szCs w:val="28"/>
        </w:rPr>
        <w:t>азвитие инновационного и молодежного предпринимательства; формирование механизма финансово-кредитной и имущественной поддержки представителей малого и среднего предпринимательства; содействие развитию мясного и молочного производства; создание условий для развития сельскохозяйственной деятельности малых форм хозяйствования, сельских территорий.</w:t>
      </w:r>
    </w:p>
    <w:p w:rsidR="0080620A" w:rsidRPr="006F2323" w:rsidRDefault="0080620A" w:rsidP="006F2323">
      <w:pPr>
        <w:ind w:left="-720" w:firstLine="851"/>
        <w:jc w:val="both"/>
        <w:rPr>
          <w:bCs/>
          <w:color w:val="000000"/>
          <w:sz w:val="28"/>
          <w:szCs w:val="28"/>
        </w:rPr>
      </w:pPr>
    </w:p>
    <w:p w:rsidR="00BB625B" w:rsidRPr="006F2323" w:rsidRDefault="00BB625B" w:rsidP="006F2323">
      <w:pPr>
        <w:autoSpaceDE w:val="0"/>
        <w:autoSpaceDN w:val="0"/>
        <w:adjustRightInd w:val="0"/>
        <w:ind w:left="-720" w:firstLine="851"/>
        <w:jc w:val="center"/>
        <w:rPr>
          <w:b/>
          <w:i/>
          <w:sz w:val="28"/>
          <w:szCs w:val="28"/>
        </w:rPr>
      </w:pPr>
      <w:r w:rsidRPr="006F2323">
        <w:rPr>
          <w:b/>
          <w:i/>
          <w:sz w:val="28"/>
          <w:szCs w:val="28"/>
        </w:rPr>
        <w:t>Показатель «</w:t>
      </w:r>
      <w:r w:rsidR="00E95C95" w:rsidRPr="006F2323">
        <w:rPr>
          <w:b/>
          <w:i/>
          <w:sz w:val="28"/>
          <w:szCs w:val="28"/>
        </w:rPr>
        <w:t>Доля прибыльных сельскохозяйственных организаций в общем их числе</w:t>
      </w:r>
      <w:r w:rsidRPr="006F2323">
        <w:rPr>
          <w:b/>
          <w:i/>
          <w:sz w:val="28"/>
          <w:szCs w:val="28"/>
        </w:rPr>
        <w:t>»</w:t>
      </w:r>
    </w:p>
    <w:p w:rsidR="004912E0" w:rsidRPr="006F2323" w:rsidRDefault="004912E0" w:rsidP="006F2323">
      <w:pPr>
        <w:autoSpaceDE w:val="0"/>
        <w:autoSpaceDN w:val="0"/>
        <w:adjustRightInd w:val="0"/>
        <w:ind w:left="-720" w:firstLine="851"/>
        <w:jc w:val="both"/>
        <w:rPr>
          <w:sz w:val="28"/>
          <w:szCs w:val="28"/>
        </w:rPr>
      </w:pPr>
      <w:r w:rsidRPr="006F2323">
        <w:rPr>
          <w:sz w:val="28"/>
          <w:szCs w:val="28"/>
        </w:rPr>
        <w:t xml:space="preserve">В 2019 году доля прибыльных сельскохозяйственных организаций составляет 100%. </w:t>
      </w:r>
    </w:p>
    <w:p w:rsidR="00F91ADC" w:rsidRPr="006F2323" w:rsidRDefault="004912E0" w:rsidP="006F2323">
      <w:pPr>
        <w:autoSpaceDE w:val="0"/>
        <w:autoSpaceDN w:val="0"/>
        <w:adjustRightInd w:val="0"/>
        <w:ind w:left="-720" w:firstLine="851"/>
        <w:jc w:val="both"/>
        <w:rPr>
          <w:color w:val="000000"/>
          <w:szCs w:val="28"/>
        </w:rPr>
      </w:pPr>
      <w:r w:rsidRPr="006F2323">
        <w:rPr>
          <w:sz w:val="28"/>
          <w:szCs w:val="28"/>
        </w:rPr>
        <w:t xml:space="preserve">В соответствии с Соглашением между крестьянским фермерским хозяйством "Мардер" и Департаментом промышленности ХМАО-Югры № 38-С-10 от 21.06.2017 КФК "Мардер" выделен грант в форме субсидии из федерального и окружного бюджетов на развитие семейной животноводческой фермы на базе крестьянского (фермерского) хозяйства в форме юридического лица «Мардер», по проекту «Строительство коровника с привязным содержанием на 70 скотомест». В 2019 году на территории района на базе КФХ «Мардер» открыт новый животноводческий комплекс на 70 голов крупного рогатого скота, цех по переработке молока. По итогам 2019 года КФК "Мардер" является прибыльной организацией с учетом мер государственной </w:t>
      </w:r>
      <w:r w:rsidR="002039BF">
        <w:rPr>
          <w:sz w:val="28"/>
          <w:szCs w:val="28"/>
        </w:rPr>
        <w:t xml:space="preserve">и окружной </w:t>
      </w:r>
      <w:r w:rsidRPr="006F2323">
        <w:rPr>
          <w:sz w:val="28"/>
          <w:szCs w:val="28"/>
        </w:rPr>
        <w:t>поддержки.</w:t>
      </w:r>
      <w:r w:rsidR="00BB625B" w:rsidRPr="006F2323">
        <w:rPr>
          <w:sz w:val="28"/>
          <w:szCs w:val="28"/>
        </w:rPr>
        <w:t xml:space="preserve"> </w:t>
      </w:r>
    </w:p>
    <w:p w:rsidR="000D10C2" w:rsidRPr="006F2323" w:rsidRDefault="000D10C2" w:rsidP="006F2323">
      <w:pPr>
        <w:ind w:left="-720" w:firstLine="709"/>
        <w:jc w:val="center"/>
        <w:rPr>
          <w:b/>
          <w:i/>
          <w:sz w:val="28"/>
          <w:szCs w:val="28"/>
        </w:rPr>
      </w:pPr>
    </w:p>
    <w:p w:rsidR="00AE7C95" w:rsidRPr="006F2323" w:rsidRDefault="00AE7C95" w:rsidP="006F2323">
      <w:pPr>
        <w:ind w:left="-720" w:firstLine="709"/>
        <w:jc w:val="center"/>
        <w:rPr>
          <w:b/>
          <w:i/>
          <w:sz w:val="28"/>
          <w:szCs w:val="28"/>
        </w:rPr>
      </w:pPr>
      <w:r w:rsidRPr="006F2323">
        <w:rPr>
          <w:b/>
          <w:i/>
          <w:sz w:val="28"/>
          <w:szCs w:val="28"/>
        </w:rPr>
        <w:t>Показатель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AE7C95" w:rsidRPr="006F2323" w:rsidRDefault="00AE7C95" w:rsidP="006F2323">
      <w:pPr>
        <w:ind w:left="-720" w:firstLine="709"/>
        <w:jc w:val="both"/>
        <w:rPr>
          <w:sz w:val="28"/>
          <w:szCs w:val="28"/>
        </w:rPr>
      </w:pPr>
      <w:r w:rsidRPr="006F2323">
        <w:rPr>
          <w:sz w:val="28"/>
          <w:szCs w:val="28"/>
        </w:rPr>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составляет </w:t>
      </w:r>
      <w:r w:rsidR="000D10C2" w:rsidRPr="006F2323">
        <w:rPr>
          <w:sz w:val="28"/>
          <w:szCs w:val="28"/>
        </w:rPr>
        <w:t>87,1</w:t>
      </w:r>
      <w:r w:rsidRPr="006F2323">
        <w:rPr>
          <w:sz w:val="28"/>
          <w:szCs w:val="28"/>
        </w:rPr>
        <w:t>%  (201</w:t>
      </w:r>
      <w:r w:rsidR="000D10C2" w:rsidRPr="006F2323">
        <w:rPr>
          <w:sz w:val="28"/>
          <w:szCs w:val="28"/>
        </w:rPr>
        <w:t>8</w:t>
      </w:r>
      <w:r w:rsidRPr="006F2323">
        <w:rPr>
          <w:sz w:val="28"/>
          <w:szCs w:val="28"/>
        </w:rPr>
        <w:t xml:space="preserve"> год – </w:t>
      </w:r>
      <w:r w:rsidR="000D10C2" w:rsidRPr="006F2323">
        <w:rPr>
          <w:sz w:val="28"/>
          <w:szCs w:val="28"/>
        </w:rPr>
        <w:t>86,4</w:t>
      </w:r>
      <w:r w:rsidRPr="006F2323">
        <w:rPr>
          <w:sz w:val="28"/>
          <w:szCs w:val="28"/>
        </w:rPr>
        <w:t xml:space="preserve">%). </w:t>
      </w:r>
    </w:p>
    <w:p w:rsidR="00525901" w:rsidRPr="006F2323" w:rsidRDefault="000D10C2" w:rsidP="006F2323">
      <w:pPr>
        <w:ind w:left="-720" w:firstLine="720"/>
        <w:jc w:val="both"/>
        <w:rPr>
          <w:sz w:val="28"/>
          <w:szCs w:val="28"/>
        </w:rPr>
      </w:pPr>
      <w:r w:rsidRPr="006F2323">
        <w:rPr>
          <w:sz w:val="28"/>
          <w:szCs w:val="28"/>
        </w:rPr>
        <w:t>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обеспечено за счет функционирования 18 групп кратковременного пребывания, за счет открытия 2-х групп для детей раннего дошкольного возраста в МБОУ "Излучинская ОНШ"</w:t>
      </w:r>
    </w:p>
    <w:p w:rsidR="000D10C2" w:rsidRPr="006F2323" w:rsidRDefault="000D10C2" w:rsidP="006F2323">
      <w:pPr>
        <w:ind w:left="-720" w:firstLine="720"/>
        <w:jc w:val="both"/>
        <w:rPr>
          <w:sz w:val="28"/>
          <w:szCs w:val="28"/>
        </w:rPr>
      </w:pPr>
    </w:p>
    <w:p w:rsidR="00525901" w:rsidRPr="006F2323" w:rsidRDefault="00525901" w:rsidP="006F2323">
      <w:pPr>
        <w:widowControl w:val="0"/>
        <w:autoSpaceDE w:val="0"/>
        <w:autoSpaceDN w:val="0"/>
        <w:adjustRightInd w:val="0"/>
        <w:ind w:left="-720"/>
        <w:jc w:val="center"/>
        <w:outlineLvl w:val="1"/>
        <w:rPr>
          <w:b/>
          <w:i/>
          <w:sz w:val="28"/>
          <w:szCs w:val="28"/>
        </w:rPr>
      </w:pPr>
      <w:r w:rsidRPr="006F2323">
        <w:rPr>
          <w:b/>
          <w:i/>
          <w:sz w:val="28"/>
          <w:szCs w:val="28"/>
        </w:rPr>
        <w:t>Показатель «Доля детей в возрасте 1 - 6 лет, состоящих на учете</w:t>
      </w:r>
    </w:p>
    <w:p w:rsidR="00525901" w:rsidRPr="006F2323" w:rsidRDefault="00525901" w:rsidP="006F2323">
      <w:pPr>
        <w:widowControl w:val="0"/>
        <w:autoSpaceDE w:val="0"/>
        <w:autoSpaceDN w:val="0"/>
        <w:adjustRightInd w:val="0"/>
        <w:ind w:left="-720"/>
        <w:jc w:val="center"/>
        <w:rPr>
          <w:b/>
          <w:i/>
          <w:sz w:val="28"/>
          <w:szCs w:val="28"/>
        </w:rPr>
      </w:pPr>
      <w:r w:rsidRPr="006F2323">
        <w:rPr>
          <w:b/>
          <w:i/>
          <w:sz w:val="28"/>
          <w:szCs w:val="28"/>
        </w:rPr>
        <w:t>для определения в муниципальные дошкольные образовательные</w:t>
      </w:r>
    </w:p>
    <w:p w:rsidR="00E95398" w:rsidRPr="006F2323" w:rsidRDefault="00525901" w:rsidP="006F2323">
      <w:pPr>
        <w:widowControl w:val="0"/>
        <w:autoSpaceDE w:val="0"/>
        <w:autoSpaceDN w:val="0"/>
        <w:adjustRightInd w:val="0"/>
        <w:ind w:left="-720"/>
        <w:jc w:val="center"/>
        <w:rPr>
          <w:rFonts w:ascii="Calibri" w:hAnsi="Calibri" w:cs="Calibri"/>
        </w:rPr>
      </w:pPr>
      <w:r w:rsidRPr="006F2323">
        <w:rPr>
          <w:b/>
          <w:i/>
          <w:sz w:val="28"/>
          <w:szCs w:val="28"/>
        </w:rPr>
        <w:t>учреждения, в общей численности детей в возрасте 1 - 6 лет»</w:t>
      </w:r>
    </w:p>
    <w:p w:rsidR="00525901" w:rsidRPr="006F2323" w:rsidRDefault="00525901" w:rsidP="006F2323">
      <w:pPr>
        <w:shd w:val="clear" w:color="auto" w:fill="FFFFFF"/>
        <w:ind w:left="-720" w:firstLine="709"/>
        <w:jc w:val="both"/>
        <w:rPr>
          <w:sz w:val="28"/>
          <w:szCs w:val="28"/>
        </w:rPr>
      </w:pPr>
      <w:r w:rsidRPr="006F2323">
        <w:rPr>
          <w:sz w:val="28"/>
          <w:szCs w:val="28"/>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за 201</w:t>
      </w:r>
      <w:r w:rsidR="000D10C2" w:rsidRPr="006F2323">
        <w:rPr>
          <w:sz w:val="28"/>
          <w:szCs w:val="28"/>
        </w:rPr>
        <w:t>9</w:t>
      </w:r>
      <w:r w:rsidRPr="006F2323">
        <w:rPr>
          <w:sz w:val="28"/>
          <w:szCs w:val="28"/>
        </w:rPr>
        <w:t xml:space="preserve"> год составила 0 % (201</w:t>
      </w:r>
      <w:r w:rsidR="000D10C2" w:rsidRPr="006F2323">
        <w:rPr>
          <w:sz w:val="28"/>
          <w:szCs w:val="28"/>
        </w:rPr>
        <w:t>8</w:t>
      </w:r>
      <w:r w:rsidRPr="006F2323">
        <w:rPr>
          <w:sz w:val="28"/>
          <w:szCs w:val="28"/>
        </w:rPr>
        <w:t xml:space="preserve"> год – 0%).</w:t>
      </w:r>
    </w:p>
    <w:p w:rsidR="00362E9A" w:rsidRPr="006F2323" w:rsidRDefault="00525901" w:rsidP="006F2323">
      <w:pPr>
        <w:ind w:left="-720" w:right="-1" w:firstLine="709"/>
        <w:jc w:val="both"/>
        <w:rPr>
          <w:sz w:val="28"/>
          <w:szCs w:val="28"/>
        </w:rPr>
      </w:pPr>
      <w:r w:rsidRPr="006F2323">
        <w:rPr>
          <w:sz w:val="28"/>
          <w:szCs w:val="28"/>
        </w:rPr>
        <w:t>Дети в возрасте 1-6 лет, стоящие на учете для определения в муниципальные дошкольные образовательные учреждения, на территории района отсутствуют.</w:t>
      </w:r>
    </w:p>
    <w:p w:rsidR="00362E9A" w:rsidRPr="006F2323" w:rsidRDefault="00362E9A" w:rsidP="006F2323">
      <w:pPr>
        <w:ind w:left="-720" w:firstLine="709"/>
        <w:jc w:val="both"/>
        <w:rPr>
          <w:sz w:val="28"/>
          <w:szCs w:val="28"/>
        </w:rPr>
      </w:pPr>
    </w:p>
    <w:p w:rsidR="00362E9A" w:rsidRPr="006F2323" w:rsidRDefault="00362E9A" w:rsidP="006F2323">
      <w:pPr>
        <w:ind w:left="-720" w:firstLine="709"/>
        <w:jc w:val="center"/>
        <w:rPr>
          <w:b/>
          <w:sz w:val="28"/>
          <w:szCs w:val="28"/>
        </w:rPr>
      </w:pPr>
      <w:r w:rsidRPr="006F2323">
        <w:rPr>
          <w:b/>
          <w:i/>
          <w:sz w:val="28"/>
          <w:szCs w:val="28"/>
        </w:rPr>
        <w:t>Показатель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362E9A" w:rsidRPr="006F2323" w:rsidRDefault="00362E9A" w:rsidP="006F2323">
      <w:pPr>
        <w:ind w:left="-720" w:firstLine="709"/>
        <w:jc w:val="both"/>
        <w:rPr>
          <w:sz w:val="28"/>
          <w:szCs w:val="28"/>
        </w:rPr>
      </w:pPr>
      <w:r w:rsidRPr="006F2323">
        <w:rPr>
          <w:sz w:val="28"/>
          <w:szCs w:val="28"/>
        </w:rPr>
        <w:t xml:space="preserve">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составляет 0% (201</w:t>
      </w:r>
      <w:r w:rsidR="000D10C2" w:rsidRPr="006F2323">
        <w:rPr>
          <w:sz w:val="28"/>
          <w:szCs w:val="28"/>
        </w:rPr>
        <w:t>8</w:t>
      </w:r>
      <w:r w:rsidRPr="006F2323">
        <w:rPr>
          <w:sz w:val="28"/>
          <w:szCs w:val="28"/>
        </w:rPr>
        <w:t xml:space="preserve"> год – 0%). </w:t>
      </w:r>
    </w:p>
    <w:p w:rsidR="0005435A" w:rsidRPr="006F2323" w:rsidRDefault="00362E9A" w:rsidP="006F2323">
      <w:pPr>
        <w:ind w:left="-720" w:firstLine="709"/>
        <w:jc w:val="both"/>
        <w:rPr>
          <w:sz w:val="28"/>
          <w:szCs w:val="28"/>
        </w:rPr>
      </w:pPr>
      <w:r w:rsidRPr="006F2323">
        <w:rPr>
          <w:sz w:val="28"/>
          <w:szCs w:val="28"/>
        </w:rPr>
        <w:t>Муниципальные дошкольные образовательные учреждения, здания которых находятся в аварийном состоянии или требуют капитального ремонта, отсутствуют.</w:t>
      </w:r>
      <w:r w:rsidR="0005435A" w:rsidRPr="006F2323">
        <w:rPr>
          <w:sz w:val="28"/>
          <w:szCs w:val="28"/>
        </w:rPr>
        <w:t xml:space="preserve"> В рамках реализации программы «Развитие образования в Нижневартовском районе» регулярно выполняются капитальные и текущие ремонты учреждений образования в Нижневартовском районе.</w:t>
      </w:r>
    </w:p>
    <w:p w:rsidR="00320859" w:rsidRPr="006F2323" w:rsidRDefault="00320859" w:rsidP="006F2323">
      <w:pPr>
        <w:ind w:left="-720" w:firstLine="709"/>
        <w:jc w:val="both"/>
        <w:rPr>
          <w:sz w:val="28"/>
          <w:szCs w:val="28"/>
        </w:rPr>
      </w:pPr>
    </w:p>
    <w:p w:rsidR="00320859" w:rsidRPr="006F2323" w:rsidRDefault="00320859" w:rsidP="006F2323">
      <w:pPr>
        <w:ind w:left="-720" w:firstLine="709"/>
        <w:jc w:val="both"/>
        <w:rPr>
          <w:sz w:val="28"/>
          <w:szCs w:val="28"/>
        </w:rPr>
      </w:pPr>
    </w:p>
    <w:p w:rsidR="00320859" w:rsidRPr="006F2323" w:rsidRDefault="00320859" w:rsidP="006F2323">
      <w:pPr>
        <w:ind w:left="-720" w:firstLine="709"/>
        <w:jc w:val="center"/>
        <w:rPr>
          <w:b/>
          <w:sz w:val="28"/>
          <w:szCs w:val="28"/>
        </w:rPr>
      </w:pPr>
      <w:r w:rsidRPr="006F2323">
        <w:rPr>
          <w:b/>
          <w:i/>
          <w:sz w:val="28"/>
          <w:szCs w:val="28"/>
        </w:rPr>
        <w:t>Показатель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320859" w:rsidRPr="006F2323" w:rsidRDefault="00320859" w:rsidP="006F2323">
      <w:pPr>
        <w:ind w:left="-720" w:firstLine="709"/>
        <w:jc w:val="both"/>
        <w:rPr>
          <w:sz w:val="28"/>
          <w:szCs w:val="28"/>
        </w:rPr>
      </w:pPr>
      <w:r w:rsidRPr="006F2323">
        <w:rPr>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составляет 0% (201</w:t>
      </w:r>
      <w:r w:rsidR="000D10C2" w:rsidRPr="006F2323">
        <w:rPr>
          <w:sz w:val="28"/>
          <w:szCs w:val="28"/>
        </w:rPr>
        <w:t>8</w:t>
      </w:r>
      <w:r w:rsidRPr="006F2323">
        <w:rPr>
          <w:sz w:val="28"/>
          <w:szCs w:val="28"/>
        </w:rPr>
        <w:t xml:space="preserve"> </w:t>
      </w:r>
      <w:r w:rsidRPr="006F2323">
        <w:rPr>
          <w:sz w:val="28"/>
          <w:szCs w:val="28"/>
        </w:rPr>
        <w:lastRenderedPageBreak/>
        <w:t>– 0 %). Стабильность показателя сохраняется за счет повышения качества образования, работы с обучающимися по индивидуальным образовательным маршрутам.</w:t>
      </w:r>
    </w:p>
    <w:p w:rsidR="00525901" w:rsidRPr="006F2323" w:rsidRDefault="00525901" w:rsidP="002039BF">
      <w:pPr>
        <w:ind w:left="-720" w:firstLine="709"/>
        <w:jc w:val="both"/>
        <w:rPr>
          <w:sz w:val="28"/>
          <w:szCs w:val="28"/>
        </w:rPr>
      </w:pPr>
      <w:r w:rsidRPr="006F2323">
        <w:rPr>
          <w:sz w:val="28"/>
          <w:szCs w:val="28"/>
        </w:rPr>
        <w:t xml:space="preserve">    </w:t>
      </w:r>
      <w:bookmarkStart w:id="0" w:name="_GoBack"/>
      <w:bookmarkEnd w:id="0"/>
    </w:p>
    <w:p w:rsidR="00525901" w:rsidRPr="006F2323" w:rsidRDefault="00525901" w:rsidP="006F2323">
      <w:pPr>
        <w:ind w:left="-720" w:firstLine="567"/>
        <w:jc w:val="center"/>
        <w:rPr>
          <w:b/>
          <w:i/>
          <w:color w:val="000000"/>
          <w:sz w:val="28"/>
          <w:szCs w:val="28"/>
        </w:rPr>
      </w:pPr>
      <w:r w:rsidRPr="006F2323">
        <w:rPr>
          <w:b/>
          <w:i/>
          <w:sz w:val="28"/>
          <w:szCs w:val="28"/>
        </w:rPr>
        <w:t>Показатель</w:t>
      </w:r>
      <w:r w:rsidRPr="006F2323">
        <w:rPr>
          <w:b/>
          <w:i/>
          <w:color w:val="000000"/>
          <w:sz w:val="20"/>
          <w:szCs w:val="20"/>
        </w:rPr>
        <w:t xml:space="preserve"> </w:t>
      </w:r>
      <w:r w:rsidRPr="006F2323">
        <w:rPr>
          <w:b/>
          <w:i/>
          <w:color w:val="000000"/>
          <w:sz w:val="28"/>
          <w:szCs w:val="28"/>
        </w:rPr>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p w:rsidR="00E140E8" w:rsidRPr="006F2323" w:rsidRDefault="00E140E8" w:rsidP="006F2323">
      <w:pPr>
        <w:ind w:left="-720" w:firstLine="709"/>
        <w:jc w:val="both"/>
        <w:rPr>
          <w:color w:val="000000"/>
          <w:sz w:val="28"/>
          <w:szCs w:val="28"/>
        </w:rPr>
      </w:pPr>
      <w:r w:rsidRPr="006F2323">
        <w:rPr>
          <w:color w:val="000000"/>
          <w:sz w:val="28"/>
          <w:szCs w:val="28"/>
        </w:rPr>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w:t>
      </w:r>
      <w:r w:rsidR="00291E28" w:rsidRPr="006F2323">
        <w:rPr>
          <w:color w:val="000000"/>
          <w:sz w:val="28"/>
          <w:szCs w:val="28"/>
        </w:rPr>
        <w:t>учреждениях» составляет 0% (201</w:t>
      </w:r>
      <w:r w:rsidR="00303C16" w:rsidRPr="006F2323">
        <w:rPr>
          <w:color w:val="000000"/>
          <w:sz w:val="28"/>
          <w:szCs w:val="28"/>
        </w:rPr>
        <w:t>8</w:t>
      </w:r>
      <w:r w:rsidRPr="006F2323">
        <w:rPr>
          <w:color w:val="000000"/>
          <w:sz w:val="28"/>
          <w:szCs w:val="28"/>
        </w:rPr>
        <w:t xml:space="preserve"> год – 0%). </w:t>
      </w:r>
    </w:p>
    <w:p w:rsidR="00525901" w:rsidRPr="006F2323" w:rsidRDefault="00525901" w:rsidP="006F2323">
      <w:pPr>
        <w:ind w:left="-720" w:firstLine="720"/>
        <w:jc w:val="both"/>
        <w:rPr>
          <w:color w:val="000000"/>
          <w:sz w:val="28"/>
          <w:szCs w:val="28"/>
        </w:rPr>
      </w:pPr>
      <w:r w:rsidRPr="006F2323">
        <w:rPr>
          <w:color w:val="000000"/>
          <w:sz w:val="28"/>
          <w:szCs w:val="28"/>
        </w:rPr>
        <w:t xml:space="preserve">В связи с вводом в эксплуатацию нового здания МБОУ "Новоаганская ОСШ №2" с 2014 года 100% обучающихся в муниципальных общеобразовательных учреждениях района занимаются в первую смену. </w:t>
      </w:r>
    </w:p>
    <w:p w:rsidR="00525901" w:rsidRPr="006F2323" w:rsidRDefault="00525901" w:rsidP="006F2323">
      <w:pPr>
        <w:ind w:left="-720" w:firstLine="567"/>
        <w:jc w:val="both"/>
        <w:rPr>
          <w:b/>
          <w:i/>
          <w:color w:val="000000"/>
          <w:sz w:val="28"/>
          <w:szCs w:val="28"/>
        </w:rPr>
      </w:pPr>
    </w:p>
    <w:p w:rsidR="00320859" w:rsidRPr="006F2323" w:rsidRDefault="00320859" w:rsidP="006F2323">
      <w:pPr>
        <w:ind w:left="-720" w:firstLine="284"/>
        <w:jc w:val="both"/>
        <w:rPr>
          <w:sz w:val="28"/>
          <w:szCs w:val="28"/>
        </w:rPr>
      </w:pPr>
    </w:p>
    <w:p w:rsidR="00320859" w:rsidRPr="006F2323" w:rsidRDefault="00320859" w:rsidP="006F2323">
      <w:pPr>
        <w:ind w:left="-720" w:firstLine="709"/>
        <w:jc w:val="center"/>
        <w:rPr>
          <w:b/>
          <w:sz w:val="28"/>
          <w:szCs w:val="28"/>
        </w:rPr>
      </w:pPr>
      <w:r w:rsidRPr="006F2323">
        <w:rPr>
          <w:b/>
          <w:i/>
          <w:sz w:val="28"/>
          <w:szCs w:val="28"/>
        </w:rPr>
        <w:t>Показатель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320859" w:rsidRPr="006F2323" w:rsidRDefault="00320859" w:rsidP="006F2323">
      <w:pPr>
        <w:ind w:left="-720" w:firstLine="709"/>
        <w:jc w:val="both"/>
        <w:rPr>
          <w:sz w:val="28"/>
          <w:szCs w:val="28"/>
        </w:rPr>
      </w:pPr>
      <w:r w:rsidRPr="006F2323">
        <w:rPr>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0% (201</w:t>
      </w:r>
      <w:r w:rsidR="00303C16" w:rsidRPr="006F2323">
        <w:rPr>
          <w:sz w:val="28"/>
          <w:szCs w:val="28"/>
        </w:rPr>
        <w:t>8</w:t>
      </w:r>
      <w:r w:rsidRPr="006F2323">
        <w:rPr>
          <w:sz w:val="28"/>
          <w:szCs w:val="28"/>
        </w:rPr>
        <w:t xml:space="preserve"> год – 0%). </w:t>
      </w:r>
    </w:p>
    <w:p w:rsidR="00A231E3" w:rsidRPr="006F2323" w:rsidRDefault="00320859" w:rsidP="006F2323">
      <w:pPr>
        <w:ind w:left="-720" w:firstLine="709"/>
        <w:jc w:val="both"/>
        <w:rPr>
          <w:sz w:val="28"/>
          <w:szCs w:val="28"/>
        </w:rPr>
      </w:pPr>
      <w:r w:rsidRPr="006F2323">
        <w:rPr>
          <w:sz w:val="28"/>
          <w:szCs w:val="28"/>
        </w:rPr>
        <w:t xml:space="preserve"> Муниципальные общеобразовательные учреждения, здания которых находятся в аварийном состоянии или требуют капитального ремонта, отсутствуют.</w:t>
      </w:r>
      <w:r w:rsidR="00A231E3" w:rsidRPr="006F2323">
        <w:t xml:space="preserve"> </w:t>
      </w:r>
      <w:r w:rsidR="00A231E3" w:rsidRPr="006F2323">
        <w:rPr>
          <w:sz w:val="28"/>
          <w:szCs w:val="28"/>
        </w:rPr>
        <w:t xml:space="preserve">В рамках реализации программы «Развитие образования в Нижневартовском районе» регулярно выполняются капитальные </w:t>
      </w:r>
      <w:r w:rsidR="000F1CE9" w:rsidRPr="006F2323">
        <w:rPr>
          <w:sz w:val="28"/>
          <w:szCs w:val="28"/>
        </w:rPr>
        <w:t xml:space="preserve">и текущие </w:t>
      </w:r>
      <w:r w:rsidR="00A231E3" w:rsidRPr="006F2323">
        <w:rPr>
          <w:sz w:val="28"/>
          <w:szCs w:val="28"/>
        </w:rPr>
        <w:t xml:space="preserve">ремонты учреждений </w:t>
      </w:r>
      <w:r w:rsidR="000F1CE9" w:rsidRPr="006F2323">
        <w:rPr>
          <w:sz w:val="28"/>
          <w:szCs w:val="28"/>
        </w:rPr>
        <w:t>образования</w:t>
      </w:r>
      <w:r w:rsidR="00A231E3" w:rsidRPr="006F2323">
        <w:rPr>
          <w:sz w:val="28"/>
          <w:szCs w:val="28"/>
        </w:rPr>
        <w:t xml:space="preserve"> в Нижневартовском районе.</w:t>
      </w:r>
    </w:p>
    <w:p w:rsidR="00E178BA" w:rsidRPr="006F2323" w:rsidRDefault="00E178BA" w:rsidP="006F2323">
      <w:pPr>
        <w:ind w:left="-720" w:firstLine="709"/>
        <w:jc w:val="both"/>
        <w:rPr>
          <w:sz w:val="28"/>
          <w:szCs w:val="28"/>
        </w:rPr>
      </w:pPr>
    </w:p>
    <w:p w:rsidR="00A62011" w:rsidRPr="006F2323" w:rsidRDefault="00A62011" w:rsidP="006F2323">
      <w:pPr>
        <w:ind w:left="-720" w:firstLine="284"/>
        <w:jc w:val="center"/>
        <w:rPr>
          <w:b/>
          <w:sz w:val="28"/>
          <w:szCs w:val="28"/>
        </w:rPr>
      </w:pPr>
      <w:r w:rsidRPr="006F2323">
        <w:rPr>
          <w:b/>
          <w:i/>
          <w:sz w:val="28"/>
          <w:szCs w:val="28"/>
        </w:rPr>
        <w:t>Показатель «Доля детей первой и второй групп здоровья в общей численности обучающихся в муниципальных общеобразовательных учреждениях»</w:t>
      </w:r>
    </w:p>
    <w:p w:rsidR="00E178BA" w:rsidRPr="006F2323" w:rsidRDefault="00300772" w:rsidP="006F2323">
      <w:pPr>
        <w:ind w:left="-720" w:firstLine="709"/>
        <w:jc w:val="both"/>
        <w:rPr>
          <w:b/>
          <w:i/>
          <w:sz w:val="28"/>
          <w:szCs w:val="28"/>
        </w:rPr>
      </w:pPr>
      <w:r w:rsidRPr="006F2323">
        <w:rPr>
          <w:sz w:val="28"/>
          <w:szCs w:val="28"/>
        </w:rPr>
        <w:t xml:space="preserve">Доля детей первой и второй групп здоровья в общей численности обучающихся в муниципальных общеобразовательных учреждениях в 2019 году составила 91,9%, </w:t>
      </w:r>
      <w:r w:rsidR="001654F9" w:rsidRPr="006F2323">
        <w:rPr>
          <w:sz w:val="28"/>
          <w:szCs w:val="28"/>
        </w:rPr>
        <w:t>чему способствовал к</w:t>
      </w:r>
      <w:r w:rsidR="00E178BA" w:rsidRPr="006F2323">
        <w:rPr>
          <w:sz w:val="28"/>
          <w:szCs w:val="28"/>
        </w:rPr>
        <w:t>омплекс социально-гигиенических, профилактических мероприятий, направленных на сохранение и укрепление здоровья детей и подростков, проводимый совместно учреждениями здравоохранения в образовательных учреждениях района (201</w:t>
      </w:r>
      <w:r w:rsidR="001654F9" w:rsidRPr="006F2323">
        <w:rPr>
          <w:sz w:val="28"/>
          <w:szCs w:val="28"/>
        </w:rPr>
        <w:t>8</w:t>
      </w:r>
      <w:r w:rsidR="00E178BA" w:rsidRPr="006F2323">
        <w:rPr>
          <w:sz w:val="28"/>
          <w:szCs w:val="28"/>
        </w:rPr>
        <w:t xml:space="preserve"> – </w:t>
      </w:r>
      <w:r w:rsidRPr="006F2323">
        <w:rPr>
          <w:sz w:val="28"/>
          <w:szCs w:val="28"/>
        </w:rPr>
        <w:t>91,6</w:t>
      </w:r>
      <w:r w:rsidR="00E178BA" w:rsidRPr="006F2323">
        <w:rPr>
          <w:sz w:val="28"/>
          <w:szCs w:val="28"/>
        </w:rPr>
        <w:t>%).</w:t>
      </w:r>
      <w:r w:rsidR="00EF60C9" w:rsidRPr="006F2323">
        <w:rPr>
          <w:sz w:val="44"/>
          <w:szCs w:val="44"/>
        </w:rPr>
        <w:t xml:space="preserve"> </w:t>
      </w:r>
      <w:r w:rsidR="00EF60C9" w:rsidRPr="006F2323">
        <w:rPr>
          <w:b/>
          <w:i/>
          <w:sz w:val="28"/>
          <w:szCs w:val="28"/>
        </w:rPr>
        <w:t>Показатель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EF60C9" w:rsidRPr="006F2323" w:rsidRDefault="00EF60C9" w:rsidP="006F2323">
      <w:pPr>
        <w:ind w:left="-720" w:firstLine="709"/>
        <w:jc w:val="both"/>
        <w:rPr>
          <w:b/>
          <w:i/>
          <w:sz w:val="28"/>
          <w:szCs w:val="28"/>
        </w:rPr>
      </w:pPr>
    </w:p>
    <w:p w:rsidR="00EF60C9" w:rsidRPr="006F2323" w:rsidRDefault="00EF60C9" w:rsidP="006F2323">
      <w:pPr>
        <w:ind w:left="-720" w:firstLine="709"/>
        <w:jc w:val="both"/>
        <w:rPr>
          <w:sz w:val="28"/>
          <w:szCs w:val="28"/>
        </w:rPr>
      </w:pPr>
      <w:r w:rsidRPr="006F2323">
        <w:rPr>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 в 2019 году составили 267,1 тыс. рублей (2018 год -252,4 тыс.рублей) за счет реализации на территории Нижневартовского района муниципальной  программы «Развитие образования в Нижневартовском районе»</w:t>
      </w:r>
    </w:p>
    <w:p w:rsidR="00EF60C9" w:rsidRPr="006F2323" w:rsidRDefault="00EF60C9" w:rsidP="006F2323">
      <w:pPr>
        <w:ind w:left="-720" w:firstLine="709"/>
        <w:jc w:val="both"/>
        <w:rPr>
          <w:b/>
          <w:i/>
          <w:sz w:val="28"/>
          <w:szCs w:val="28"/>
        </w:rPr>
      </w:pPr>
    </w:p>
    <w:p w:rsidR="00EF60C9" w:rsidRPr="006F2323" w:rsidRDefault="00EF60C9" w:rsidP="006F2323">
      <w:pPr>
        <w:ind w:left="-720" w:firstLine="709"/>
        <w:jc w:val="both"/>
        <w:rPr>
          <w:b/>
          <w:i/>
          <w:sz w:val="28"/>
          <w:szCs w:val="28"/>
        </w:rPr>
      </w:pPr>
    </w:p>
    <w:p w:rsidR="00F44851" w:rsidRPr="006F2323" w:rsidRDefault="00F44851" w:rsidP="006F2323">
      <w:pPr>
        <w:ind w:left="-720" w:firstLine="709"/>
        <w:jc w:val="center"/>
        <w:rPr>
          <w:b/>
          <w:i/>
          <w:sz w:val="28"/>
          <w:szCs w:val="28"/>
        </w:rPr>
      </w:pPr>
      <w:r w:rsidRPr="006F2323">
        <w:rPr>
          <w:b/>
          <w:i/>
          <w:sz w:val="28"/>
          <w:szCs w:val="28"/>
        </w:rPr>
        <w:lastRenderedPageBreak/>
        <w:t>Показатель «Доля муниципальных учреждений культуры, здания которых находятся в аварийном состоянии или требуют капитального ремонта, в общем числе муниципальных учреждений культуры»</w:t>
      </w:r>
    </w:p>
    <w:p w:rsidR="00F44851" w:rsidRPr="006F2323" w:rsidRDefault="00F44851" w:rsidP="006F2323">
      <w:pPr>
        <w:ind w:left="-720" w:firstLine="709"/>
        <w:jc w:val="center"/>
        <w:rPr>
          <w:b/>
          <w:sz w:val="28"/>
          <w:szCs w:val="28"/>
        </w:rPr>
      </w:pPr>
    </w:p>
    <w:p w:rsidR="00F44851" w:rsidRPr="006F2323" w:rsidRDefault="00F44851" w:rsidP="006F2323">
      <w:pPr>
        <w:ind w:left="-720" w:firstLine="709"/>
        <w:rPr>
          <w:sz w:val="28"/>
          <w:szCs w:val="28"/>
        </w:rPr>
      </w:pPr>
      <w:r w:rsidRPr="006F2323">
        <w:rPr>
          <w:sz w:val="28"/>
          <w:szCs w:val="28"/>
        </w:rPr>
        <w:t xml:space="preserve"> Доля муниципальных учреждений культуры, здания которых находятся в аварийном состоянии или требуют капитального ремонта, в общем числе муниципальных учреждений культуры, составляет 0% (201</w:t>
      </w:r>
      <w:r w:rsidR="002F6DB1" w:rsidRPr="006F2323">
        <w:rPr>
          <w:sz w:val="28"/>
          <w:szCs w:val="28"/>
        </w:rPr>
        <w:t>8</w:t>
      </w:r>
      <w:r w:rsidRPr="006F2323">
        <w:rPr>
          <w:sz w:val="28"/>
          <w:szCs w:val="28"/>
        </w:rPr>
        <w:t xml:space="preserve"> год – 0%). </w:t>
      </w:r>
    </w:p>
    <w:p w:rsidR="00F44851" w:rsidRPr="006F2323" w:rsidRDefault="00F44851" w:rsidP="006F2323">
      <w:pPr>
        <w:ind w:left="-720" w:firstLine="709"/>
        <w:jc w:val="both"/>
        <w:rPr>
          <w:sz w:val="28"/>
          <w:szCs w:val="28"/>
        </w:rPr>
      </w:pPr>
      <w:r w:rsidRPr="006F2323">
        <w:rPr>
          <w:sz w:val="28"/>
          <w:szCs w:val="28"/>
        </w:rPr>
        <w:t>Муниципальные учреждения культуры, здания которых находятся в аварийном состоянии или требуют капитального ремонта, отсутствуют. В рамках реализации программы «</w:t>
      </w:r>
      <w:r w:rsidR="002F6DB1" w:rsidRPr="006F2323">
        <w:rPr>
          <w:sz w:val="28"/>
          <w:szCs w:val="28"/>
        </w:rPr>
        <w:t xml:space="preserve">Культурное пространство </w:t>
      </w:r>
      <w:r w:rsidRPr="006F2323">
        <w:rPr>
          <w:sz w:val="28"/>
          <w:szCs w:val="28"/>
        </w:rPr>
        <w:t>Нижневартовско</w:t>
      </w:r>
      <w:r w:rsidR="002F6DB1" w:rsidRPr="006F2323">
        <w:rPr>
          <w:sz w:val="28"/>
          <w:szCs w:val="28"/>
        </w:rPr>
        <w:t>го района</w:t>
      </w:r>
      <w:r w:rsidRPr="006F2323">
        <w:rPr>
          <w:sz w:val="28"/>
          <w:szCs w:val="28"/>
        </w:rPr>
        <w:t xml:space="preserve">» регулярно выполняются капитальные </w:t>
      </w:r>
      <w:r w:rsidR="00163407" w:rsidRPr="006F2323">
        <w:rPr>
          <w:sz w:val="28"/>
          <w:szCs w:val="28"/>
        </w:rPr>
        <w:t xml:space="preserve">и текущие </w:t>
      </w:r>
      <w:r w:rsidRPr="006F2323">
        <w:rPr>
          <w:sz w:val="28"/>
          <w:szCs w:val="28"/>
        </w:rPr>
        <w:t>ремонты учреждений культуры в Нижневартовском районе.</w:t>
      </w:r>
    </w:p>
    <w:p w:rsidR="007B72D0" w:rsidRPr="006F2323" w:rsidRDefault="007B72D0" w:rsidP="006F2323">
      <w:pPr>
        <w:ind w:left="-720" w:firstLine="709"/>
        <w:jc w:val="both"/>
        <w:rPr>
          <w:sz w:val="28"/>
          <w:szCs w:val="28"/>
        </w:rPr>
      </w:pPr>
    </w:p>
    <w:p w:rsidR="00A348FB" w:rsidRPr="006F2323" w:rsidRDefault="00A348FB" w:rsidP="006F2323">
      <w:pPr>
        <w:ind w:left="-720" w:firstLine="709"/>
        <w:jc w:val="center"/>
        <w:rPr>
          <w:b/>
          <w:i/>
          <w:sz w:val="28"/>
          <w:szCs w:val="28"/>
        </w:rPr>
      </w:pPr>
      <w:r w:rsidRPr="006F2323">
        <w:rPr>
          <w:b/>
          <w:i/>
          <w:sz w:val="28"/>
          <w:szCs w:val="28"/>
        </w:rPr>
        <w:t>Показател</w:t>
      </w:r>
      <w:r w:rsidR="007D3C97" w:rsidRPr="006F2323">
        <w:rPr>
          <w:b/>
          <w:i/>
          <w:sz w:val="28"/>
          <w:szCs w:val="28"/>
        </w:rPr>
        <w:t>ь</w:t>
      </w:r>
      <w:r w:rsidRPr="006F2323">
        <w:rPr>
          <w:b/>
          <w:i/>
          <w:sz w:val="28"/>
          <w:szCs w:val="28"/>
        </w:rPr>
        <w:t xml:space="preserve"> «Доля населения, систематически занимающегося физической культурой и спортом</w:t>
      </w:r>
      <w:r w:rsidR="007D3C97" w:rsidRPr="006F2323">
        <w:rPr>
          <w:b/>
          <w:i/>
          <w:sz w:val="28"/>
          <w:szCs w:val="28"/>
        </w:rPr>
        <w:t>»</w:t>
      </w:r>
    </w:p>
    <w:p w:rsidR="00A348FB" w:rsidRPr="006F2323" w:rsidRDefault="00A348FB" w:rsidP="006F2323">
      <w:pPr>
        <w:ind w:left="-720" w:firstLine="709"/>
        <w:jc w:val="center"/>
        <w:rPr>
          <w:b/>
          <w:i/>
          <w:sz w:val="28"/>
          <w:szCs w:val="28"/>
        </w:rPr>
      </w:pPr>
    </w:p>
    <w:p w:rsidR="000772EC" w:rsidRPr="006F2323" w:rsidRDefault="00A348FB" w:rsidP="006F2323">
      <w:pPr>
        <w:ind w:left="-720" w:firstLine="708"/>
        <w:jc w:val="both"/>
        <w:rPr>
          <w:sz w:val="28"/>
          <w:szCs w:val="28"/>
        </w:rPr>
      </w:pPr>
      <w:r w:rsidRPr="006F2323">
        <w:rPr>
          <w:sz w:val="28"/>
          <w:szCs w:val="28"/>
        </w:rPr>
        <w:t>В 201</w:t>
      </w:r>
      <w:r w:rsidR="000772EC" w:rsidRPr="006F2323">
        <w:rPr>
          <w:sz w:val="28"/>
          <w:szCs w:val="28"/>
        </w:rPr>
        <w:t>9</w:t>
      </w:r>
      <w:r w:rsidRPr="006F2323">
        <w:rPr>
          <w:sz w:val="28"/>
          <w:szCs w:val="28"/>
        </w:rPr>
        <w:t xml:space="preserve"> году</w:t>
      </w:r>
      <w:r w:rsidR="006C4EA3" w:rsidRPr="006F2323">
        <w:rPr>
          <w:sz w:val="28"/>
          <w:szCs w:val="28"/>
        </w:rPr>
        <w:t xml:space="preserve"> «Доля населения, систематически занимающегося физической культурой и спортом» составила </w:t>
      </w:r>
      <w:r w:rsidR="007D3C97" w:rsidRPr="006F2323">
        <w:rPr>
          <w:sz w:val="28"/>
          <w:szCs w:val="28"/>
        </w:rPr>
        <w:t>53,1</w:t>
      </w:r>
      <w:r w:rsidR="006C4EA3" w:rsidRPr="006F2323">
        <w:rPr>
          <w:sz w:val="28"/>
          <w:szCs w:val="28"/>
        </w:rPr>
        <w:t>% (201</w:t>
      </w:r>
      <w:r w:rsidR="000772EC" w:rsidRPr="006F2323">
        <w:rPr>
          <w:sz w:val="28"/>
          <w:szCs w:val="28"/>
        </w:rPr>
        <w:t>8</w:t>
      </w:r>
      <w:r w:rsidR="006C4EA3" w:rsidRPr="006F2323">
        <w:rPr>
          <w:sz w:val="28"/>
          <w:szCs w:val="28"/>
        </w:rPr>
        <w:t xml:space="preserve"> год – </w:t>
      </w:r>
      <w:r w:rsidR="007D3C97" w:rsidRPr="006F2323">
        <w:rPr>
          <w:sz w:val="28"/>
          <w:szCs w:val="28"/>
        </w:rPr>
        <w:t xml:space="preserve">47,7%). </w:t>
      </w:r>
      <w:r w:rsidR="000772EC" w:rsidRPr="006F2323">
        <w:rPr>
          <w:sz w:val="28"/>
          <w:szCs w:val="28"/>
        </w:rPr>
        <w:t>Увеличение доли занимающихся на 5,4% связано с внедрением комплекса ВФСК "ГТО", организацией систематических тренировочных занятий по подготовке жителей района к сдаче нормативов ГТО, расширением платных услуг, эффективным использованием имеющихся спортивных объектов.</w:t>
      </w:r>
    </w:p>
    <w:p w:rsidR="000772EC" w:rsidRPr="006F2323" w:rsidRDefault="000772EC" w:rsidP="006F2323">
      <w:pPr>
        <w:ind w:left="-720"/>
        <w:jc w:val="both"/>
        <w:rPr>
          <w:color w:val="000000"/>
          <w:sz w:val="22"/>
          <w:szCs w:val="22"/>
        </w:rPr>
      </w:pPr>
    </w:p>
    <w:p w:rsidR="007D3C97" w:rsidRPr="006F2323" w:rsidRDefault="007D3C97" w:rsidP="006F2323">
      <w:pPr>
        <w:ind w:left="-720" w:firstLine="709"/>
        <w:jc w:val="center"/>
        <w:rPr>
          <w:b/>
          <w:i/>
          <w:sz w:val="28"/>
          <w:szCs w:val="28"/>
        </w:rPr>
      </w:pPr>
      <w:r w:rsidRPr="006F2323">
        <w:rPr>
          <w:b/>
          <w:i/>
          <w:sz w:val="28"/>
          <w:szCs w:val="28"/>
        </w:rPr>
        <w:t>Показатель «Доля обучающихся, систематически занимающихся физической культурой и спортом, в общей численности обучающихся»</w:t>
      </w:r>
    </w:p>
    <w:p w:rsidR="000772EC" w:rsidRPr="006F2323" w:rsidRDefault="007D3C97" w:rsidP="006F2323">
      <w:pPr>
        <w:ind w:left="-720" w:firstLine="708"/>
        <w:jc w:val="both"/>
        <w:rPr>
          <w:sz w:val="28"/>
          <w:szCs w:val="28"/>
        </w:rPr>
      </w:pPr>
      <w:r w:rsidRPr="006F2323">
        <w:rPr>
          <w:sz w:val="28"/>
          <w:szCs w:val="28"/>
        </w:rPr>
        <w:t xml:space="preserve">В 2019 году «Доля обучающихся, систематически занимающихся физической культурой и спортом, в общей численности обучающихся» составила 97,2% (2017 год – 96,1%). </w:t>
      </w:r>
      <w:r w:rsidR="000772EC" w:rsidRPr="006F2323">
        <w:rPr>
          <w:sz w:val="28"/>
          <w:szCs w:val="28"/>
        </w:rPr>
        <w:t>Увеличение доли обучающихся, систематически занимающихся физической культурой и спортом на 1,1% связано с организацией систематических тренировочных занятий в общеобразовательных и дошкольных организациях по подготовке к выполнению нормативов ВФСК "ГТО", в связи с открытие</w:t>
      </w:r>
      <w:r w:rsidRPr="006F2323">
        <w:rPr>
          <w:sz w:val="28"/>
          <w:szCs w:val="28"/>
        </w:rPr>
        <w:t>м</w:t>
      </w:r>
      <w:r w:rsidR="000772EC" w:rsidRPr="006F2323">
        <w:rPr>
          <w:sz w:val="28"/>
          <w:szCs w:val="28"/>
        </w:rPr>
        <w:t xml:space="preserve"> секции фигурного катания в пгт. Излучинск.</w:t>
      </w:r>
    </w:p>
    <w:p w:rsidR="009C697C" w:rsidRPr="006F2323" w:rsidRDefault="009C697C" w:rsidP="006F2323">
      <w:pPr>
        <w:ind w:left="-720" w:firstLine="567"/>
        <w:jc w:val="center"/>
        <w:rPr>
          <w:b/>
          <w:i/>
          <w:sz w:val="28"/>
          <w:szCs w:val="28"/>
        </w:rPr>
      </w:pPr>
    </w:p>
    <w:p w:rsidR="00BD73C3" w:rsidRPr="006F2323" w:rsidRDefault="00BD73C3" w:rsidP="006F2323">
      <w:pPr>
        <w:ind w:left="-720" w:firstLine="567"/>
        <w:jc w:val="center"/>
        <w:rPr>
          <w:b/>
          <w:i/>
          <w:color w:val="000000"/>
          <w:sz w:val="28"/>
          <w:szCs w:val="28"/>
        </w:rPr>
      </w:pPr>
      <w:r w:rsidRPr="006F2323">
        <w:rPr>
          <w:b/>
          <w:i/>
          <w:sz w:val="28"/>
          <w:szCs w:val="28"/>
        </w:rPr>
        <w:t xml:space="preserve">Показатель </w:t>
      </w:r>
      <w:r w:rsidRPr="006F2323">
        <w:rPr>
          <w:b/>
          <w:i/>
          <w:color w:val="000000"/>
          <w:sz w:val="28"/>
          <w:szCs w:val="28"/>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B25CAC" w:rsidRPr="006F2323" w:rsidRDefault="00B25CAC" w:rsidP="006F2323">
      <w:pPr>
        <w:ind w:left="-720" w:firstLine="567"/>
        <w:jc w:val="center"/>
        <w:rPr>
          <w:b/>
          <w:i/>
          <w:color w:val="000000"/>
          <w:sz w:val="28"/>
          <w:szCs w:val="28"/>
        </w:rPr>
      </w:pPr>
    </w:p>
    <w:p w:rsidR="00BD73C3" w:rsidRPr="006F2323" w:rsidRDefault="00BD73C3" w:rsidP="006F2323">
      <w:pPr>
        <w:ind w:left="-720" w:firstLine="567"/>
        <w:jc w:val="both"/>
        <w:rPr>
          <w:color w:val="000000"/>
          <w:sz w:val="28"/>
          <w:szCs w:val="28"/>
        </w:rPr>
      </w:pPr>
      <w:r w:rsidRPr="006F2323">
        <w:rPr>
          <w:color w:val="000000"/>
          <w:sz w:val="28"/>
          <w:szCs w:val="28"/>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w:t>
      </w:r>
      <w:r w:rsidRPr="006F2323">
        <w:rPr>
          <w:color w:val="000000"/>
          <w:sz w:val="28"/>
          <w:szCs w:val="28"/>
        </w:rPr>
        <w:lastRenderedPageBreak/>
        <w:t xml:space="preserve">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Нижневартовского района составила 85,7%. </w:t>
      </w:r>
    </w:p>
    <w:p w:rsidR="00BD73C3" w:rsidRPr="006F2323" w:rsidRDefault="00BD73C3" w:rsidP="006F2323">
      <w:pPr>
        <w:pStyle w:val="1"/>
        <w:spacing w:before="0" w:line="240" w:lineRule="auto"/>
        <w:ind w:left="-720" w:firstLine="567"/>
        <w:jc w:val="both"/>
        <w:rPr>
          <w:rFonts w:ascii="Times New Roman" w:hAnsi="Times New Roman" w:cs="Times New Roman"/>
          <w:color w:val="auto"/>
          <w:sz w:val="28"/>
          <w:szCs w:val="28"/>
        </w:rPr>
      </w:pPr>
      <w:r w:rsidRPr="006F2323">
        <w:rPr>
          <w:rFonts w:ascii="Times New Roman" w:hAnsi="Times New Roman" w:cs="Times New Roman"/>
          <w:color w:val="000000"/>
          <w:sz w:val="28"/>
          <w:szCs w:val="28"/>
        </w:rPr>
        <w:t>На территории района осуществляют свою деятельность 7 организаций коммунального комплекса. Из них 6 организаций коммунального комплекса частной формы собственности, участие муниципального образования в уставном капитале которых  составляет не более 25%.</w:t>
      </w:r>
    </w:p>
    <w:p w:rsidR="00BD73C3" w:rsidRPr="006F2323" w:rsidRDefault="00BD73C3" w:rsidP="006F2323">
      <w:pPr>
        <w:ind w:left="-720" w:firstLine="709"/>
        <w:jc w:val="center"/>
        <w:rPr>
          <w:b/>
          <w:i/>
          <w:sz w:val="28"/>
          <w:szCs w:val="28"/>
        </w:rPr>
      </w:pPr>
    </w:p>
    <w:p w:rsidR="00B25CAC" w:rsidRPr="006F2323" w:rsidRDefault="00B25CAC" w:rsidP="006F2323">
      <w:pPr>
        <w:ind w:left="-720" w:firstLine="709"/>
        <w:jc w:val="center"/>
        <w:rPr>
          <w:b/>
          <w:i/>
          <w:sz w:val="28"/>
          <w:szCs w:val="28"/>
        </w:rPr>
      </w:pPr>
    </w:p>
    <w:p w:rsidR="00525901" w:rsidRPr="006F2323" w:rsidRDefault="00525901" w:rsidP="006F2323">
      <w:pPr>
        <w:ind w:left="-720" w:firstLine="709"/>
        <w:jc w:val="center"/>
        <w:rPr>
          <w:b/>
          <w:i/>
          <w:sz w:val="28"/>
          <w:szCs w:val="28"/>
        </w:rPr>
      </w:pPr>
      <w:r w:rsidRPr="006F2323">
        <w:rPr>
          <w:b/>
          <w:i/>
          <w:sz w:val="28"/>
          <w:szCs w:val="28"/>
        </w:rPr>
        <w:t>Показатель «Доля населения, получившего жилые помещения и улучшившего жилищные условия в отчетном году, в общей численности</w:t>
      </w:r>
    </w:p>
    <w:p w:rsidR="00525901" w:rsidRPr="006F2323" w:rsidRDefault="00525901" w:rsidP="006F2323">
      <w:pPr>
        <w:widowControl w:val="0"/>
        <w:autoSpaceDE w:val="0"/>
        <w:autoSpaceDN w:val="0"/>
        <w:adjustRightInd w:val="0"/>
        <w:ind w:left="-720"/>
        <w:jc w:val="center"/>
        <w:rPr>
          <w:b/>
          <w:i/>
          <w:sz w:val="28"/>
          <w:szCs w:val="28"/>
        </w:rPr>
      </w:pPr>
      <w:r w:rsidRPr="006F2323">
        <w:rPr>
          <w:b/>
          <w:i/>
          <w:sz w:val="28"/>
          <w:szCs w:val="28"/>
        </w:rPr>
        <w:t xml:space="preserve">населения, состоящего на учете в качестве нуждающегося в жилых помещениях» </w:t>
      </w:r>
    </w:p>
    <w:p w:rsidR="00525901" w:rsidRPr="006F2323" w:rsidRDefault="00525901" w:rsidP="006F2323">
      <w:pPr>
        <w:ind w:left="-720" w:firstLine="708"/>
        <w:jc w:val="both"/>
        <w:rPr>
          <w:sz w:val="28"/>
          <w:szCs w:val="28"/>
        </w:rPr>
      </w:pPr>
      <w:r w:rsidRPr="006F2323">
        <w:rPr>
          <w:sz w:val="28"/>
          <w:szCs w:val="28"/>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составила </w:t>
      </w:r>
      <w:r w:rsidR="00276102" w:rsidRPr="006F2323">
        <w:rPr>
          <w:sz w:val="28"/>
          <w:szCs w:val="28"/>
        </w:rPr>
        <w:t>77,6</w:t>
      </w:r>
      <w:r w:rsidRPr="006F2323">
        <w:rPr>
          <w:sz w:val="28"/>
          <w:szCs w:val="28"/>
        </w:rPr>
        <w:t>% (201</w:t>
      </w:r>
      <w:r w:rsidR="00CE07EA" w:rsidRPr="006F2323">
        <w:rPr>
          <w:sz w:val="28"/>
          <w:szCs w:val="28"/>
        </w:rPr>
        <w:t>8</w:t>
      </w:r>
      <w:r w:rsidRPr="006F2323">
        <w:rPr>
          <w:sz w:val="28"/>
          <w:szCs w:val="28"/>
        </w:rPr>
        <w:t xml:space="preserve"> год – </w:t>
      </w:r>
      <w:r w:rsidR="00CE07EA" w:rsidRPr="006F2323">
        <w:rPr>
          <w:sz w:val="28"/>
          <w:szCs w:val="28"/>
        </w:rPr>
        <w:t>71,9</w:t>
      </w:r>
      <w:r w:rsidRPr="006F2323">
        <w:rPr>
          <w:sz w:val="28"/>
          <w:szCs w:val="28"/>
        </w:rPr>
        <w:t>%).</w:t>
      </w:r>
    </w:p>
    <w:p w:rsidR="00525901" w:rsidRPr="006F2323" w:rsidRDefault="00276102" w:rsidP="006F2323">
      <w:pPr>
        <w:widowControl w:val="0"/>
        <w:autoSpaceDE w:val="0"/>
        <w:autoSpaceDN w:val="0"/>
        <w:adjustRightInd w:val="0"/>
        <w:ind w:left="-720" w:firstLine="709"/>
        <w:jc w:val="both"/>
        <w:rPr>
          <w:sz w:val="28"/>
          <w:szCs w:val="28"/>
        </w:rPr>
      </w:pPr>
      <w:r w:rsidRPr="006F2323">
        <w:rPr>
          <w:sz w:val="28"/>
          <w:szCs w:val="28"/>
        </w:rPr>
        <w:t xml:space="preserve">В 2019 году состояло на учете 1326 граждан. Улучшили свои жилищные условия 1030 граждан - путем получения жилых помещений в порядке очередности по договорам социального найма, переселения из непригодного, аварийного жилищного фонда, получение жилых помещений специализированного жилищного фонда, фонда коммерческого использования, реализации мероприятий различных целевых программ (по предоставлению субсидий молодым семьям, переселение за пределы автономного округа, обеспечение детей сирот. </w:t>
      </w:r>
    </w:p>
    <w:p w:rsidR="0096783E" w:rsidRPr="006F2323" w:rsidRDefault="0096783E" w:rsidP="006F2323">
      <w:pPr>
        <w:widowControl w:val="0"/>
        <w:autoSpaceDE w:val="0"/>
        <w:autoSpaceDN w:val="0"/>
        <w:adjustRightInd w:val="0"/>
        <w:ind w:left="-720"/>
        <w:jc w:val="center"/>
        <w:outlineLvl w:val="1"/>
        <w:rPr>
          <w:b/>
          <w:i/>
          <w:sz w:val="28"/>
          <w:szCs w:val="28"/>
        </w:rPr>
      </w:pPr>
    </w:p>
    <w:p w:rsidR="00525901" w:rsidRPr="006F2323" w:rsidRDefault="00525901" w:rsidP="006F2323">
      <w:pPr>
        <w:widowControl w:val="0"/>
        <w:autoSpaceDE w:val="0"/>
        <w:autoSpaceDN w:val="0"/>
        <w:adjustRightInd w:val="0"/>
        <w:ind w:left="-720"/>
        <w:jc w:val="center"/>
        <w:outlineLvl w:val="1"/>
        <w:rPr>
          <w:b/>
          <w:i/>
          <w:sz w:val="28"/>
          <w:szCs w:val="28"/>
        </w:rPr>
      </w:pPr>
      <w:r w:rsidRPr="006F2323">
        <w:rPr>
          <w:b/>
          <w:i/>
          <w:sz w:val="28"/>
          <w:szCs w:val="28"/>
        </w:rPr>
        <w:t xml:space="preserve">Показатель «Площадь земельных участков, предоставленных для строительства, в отношении которых с даты принятия решения </w:t>
      </w:r>
    </w:p>
    <w:p w:rsidR="00525901" w:rsidRPr="006F2323" w:rsidRDefault="00525901" w:rsidP="006F2323">
      <w:pPr>
        <w:widowControl w:val="0"/>
        <w:autoSpaceDE w:val="0"/>
        <w:autoSpaceDN w:val="0"/>
        <w:adjustRightInd w:val="0"/>
        <w:ind w:left="-720"/>
        <w:jc w:val="center"/>
        <w:outlineLvl w:val="1"/>
        <w:rPr>
          <w:b/>
          <w:i/>
          <w:sz w:val="28"/>
          <w:szCs w:val="28"/>
        </w:rPr>
      </w:pPr>
      <w:r w:rsidRPr="006F2323">
        <w:rPr>
          <w:b/>
          <w:i/>
          <w:sz w:val="28"/>
          <w:szCs w:val="28"/>
        </w:rPr>
        <w:t xml:space="preserve">о предоставлении земельного участка или подписания протокола о результатах торгов (конкурсов, аукционов) не было получено разрешение </w:t>
      </w:r>
    </w:p>
    <w:p w:rsidR="00525901" w:rsidRPr="006F2323" w:rsidRDefault="00525901" w:rsidP="006F2323">
      <w:pPr>
        <w:widowControl w:val="0"/>
        <w:autoSpaceDE w:val="0"/>
        <w:autoSpaceDN w:val="0"/>
        <w:adjustRightInd w:val="0"/>
        <w:ind w:left="-720"/>
        <w:jc w:val="center"/>
        <w:outlineLvl w:val="1"/>
        <w:rPr>
          <w:b/>
          <w:i/>
          <w:sz w:val="28"/>
          <w:szCs w:val="28"/>
        </w:rPr>
      </w:pPr>
      <w:r w:rsidRPr="006F2323">
        <w:rPr>
          <w:b/>
          <w:i/>
          <w:sz w:val="28"/>
          <w:szCs w:val="28"/>
        </w:rPr>
        <w:t xml:space="preserve">на ввод в эксплуатацию»  </w:t>
      </w:r>
    </w:p>
    <w:p w:rsidR="00525901" w:rsidRPr="006F2323" w:rsidRDefault="00525901" w:rsidP="006F2323">
      <w:pPr>
        <w:widowControl w:val="0"/>
        <w:autoSpaceDE w:val="0"/>
        <w:autoSpaceDN w:val="0"/>
        <w:adjustRightInd w:val="0"/>
        <w:ind w:left="-720" w:firstLine="720"/>
        <w:jc w:val="both"/>
        <w:outlineLvl w:val="1"/>
        <w:rPr>
          <w:sz w:val="28"/>
          <w:szCs w:val="28"/>
        </w:rPr>
      </w:pPr>
      <w:r w:rsidRPr="006F2323">
        <w:rPr>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отсутствует.</w:t>
      </w:r>
    </w:p>
    <w:p w:rsidR="00525901" w:rsidRPr="006F2323" w:rsidRDefault="00525901" w:rsidP="006F2323">
      <w:pPr>
        <w:ind w:left="-720" w:firstLine="720"/>
        <w:jc w:val="both"/>
        <w:rPr>
          <w:i/>
          <w:iCs/>
          <w:sz w:val="28"/>
          <w:szCs w:val="28"/>
        </w:rPr>
      </w:pPr>
      <w:r w:rsidRPr="006F2323">
        <w:rPr>
          <w:sz w:val="28"/>
          <w:szCs w:val="28"/>
        </w:rPr>
        <w:t>В 201</w:t>
      </w:r>
      <w:r w:rsidR="009C697C" w:rsidRPr="006F2323">
        <w:rPr>
          <w:sz w:val="28"/>
          <w:szCs w:val="28"/>
        </w:rPr>
        <w:t>9</w:t>
      </w:r>
      <w:r w:rsidRPr="006F2323">
        <w:rPr>
          <w:sz w:val="28"/>
          <w:szCs w:val="28"/>
        </w:rPr>
        <w:t xml:space="preserve"> году срок</w:t>
      </w:r>
      <w:r w:rsidR="00D75C5D" w:rsidRPr="006F2323">
        <w:rPr>
          <w:sz w:val="28"/>
          <w:szCs w:val="28"/>
        </w:rPr>
        <w:t>и</w:t>
      </w:r>
      <w:r w:rsidRPr="006F2323">
        <w:rPr>
          <w:sz w:val="28"/>
          <w:szCs w:val="28"/>
        </w:rPr>
        <w:t xml:space="preserve"> согласовани</w:t>
      </w:r>
      <w:r w:rsidR="00D75C5D" w:rsidRPr="006F2323">
        <w:rPr>
          <w:sz w:val="28"/>
          <w:szCs w:val="28"/>
        </w:rPr>
        <w:t>я</w:t>
      </w:r>
      <w:r w:rsidRPr="006F2323">
        <w:rPr>
          <w:sz w:val="28"/>
          <w:szCs w:val="28"/>
        </w:rPr>
        <w:t xml:space="preserve"> </w:t>
      </w:r>
      <w:r w:rsidR="00D75C5D" w:rsidRPr="006F2323">
        <w:rPr>
          <w:sz w:val="28"/>
          <w:szCs w:val="28"/>
        </w:rPr>
        <w:t>на</w:t>
      </w:r>
      <w:r w:rsidRPr="006F2323">
        <w:rPr>
          <w:sz w:val="28"/>
          <w:szCs w:val="28"/>
        </w:rPr>
        <w:t xml:space="preserve"> получени</w:t>
      </w:r>
      <w:r w:rsidR="00D75C5D" w:rsidRPr="006F2323">
        <w:rPr>
          <w:sz w:val="28"/>
          <w:szCs w:val="28"/>
        </w:rPr>
        <w:t>е</w:t>
      </w:r>
      <w:r w:rsidRPr="006F2323">
        <w:rPr>
          <w:sz w:val="28"/>
          <w:szCs w:val="28"/>
        </w:rPr>
        <w:t xml:space="preserve"> разрешения на строительство, количество процедур составило – 5</w:t>
      </w:r>
      <w:r w:rsidR="00D75C5D" w:rsidRPr="006F2323">
        <w:rPr>
          <w:sz w:val="28"/>
          <w:szCs w:val="28"/>
        </w:rPr>
        <w:t xml:space="preserve"> дней</w:t>
      </w:r>
      <w:r w:rsidRPr="006F2323">
        <w:rPr>
          <w:sz w:val="28"/>
          <w:szCs w:val="28"/>
        </w:rPr>
        <w:t xml:space="preserve">, время прохождения всех процедур </w:t>
      </w:r>
      <w:r w:rsidR="00D75C5D" w:rsidRPr="006F2323">
        <w:rPr>
          <w:sz w:val="28"/>
          <w:szCs w:val="28"/>
        </w:rPr>
        <w:t>-</w:t>
      </w:r>
      <w:r w:rsidRPr="006F2323">
        <w:rPr>
          <w:sz w:val="28"/>
          <w:szCs w:val="28"/>
        </w:rPr>
        <w:t xml:space="preserve"> 54 дня</w:t>
      </w:r>
      <w:r w:rsidRPr="006F2323">
        <w:rPr>
          <w:i/>
          <w:iCs/>
          <w:sz w:val="28"/>
          <w:szCs w:val="28"/>
        </w:rPr>
        <w:t>.</w:t>
      </w:r>
    </w:p>
    <w:p w:rsidR="00525901" w:rsidRPr="006F2323" w:rsidRDefault="00525901" w:rsidP="006F2323">
      <w:pPr>
        <w:ind w:left="-720" w:firstLine="720"/>
        <w:jc w:val="both"/>
        <w:rPr>
          <w:sz w:val="28"/>
          <w:szCs w:val="28"/>
        </w:rPr>
      </w:pPr>
      <w:r w:rsidRPr="006F2323">
        <w:rPr>
          <w:sz w:val="28"/>
          <w:szCs w:val="28"/>
        </w:rPr>
        <w:t>Принятые меры позволяют своевременно формировать и  последовательно осваивать земельные участки для жилищного строительства и иных объектов капитального строительства.</w:t>
      </w:r>
    </w:p>
    <w:p w:rsidR="00FE46B4" w:rsidRPr="006F2323" w:rsidRDefault="00FE46B4" w:rsidP="006F2323">
      <w:pPr>
        <w:ind w:left="-720" w:firstLine="720"/>
        <w:jc w:val="both"/>
        <w:rPr>
          <w:sz w:val="28"/>
          <w:szCs w:val="28"/>
        </w:rPr>
      </w:pPr>
    </w:p>
    <w:p w:rsidR="00FE46B4" w:rsidRPr="006F2323" w:rsidRDefault="00FE46B4" w:rsidP="006F2323">
      <w:pPr>
        <w:widowControl w:val="0"/>
        <w:autoSpaceDE w:val="0"/>
        <w:autoSpaceDN w:val="0"/>
        <w:adjustRightInd w:val="0"/>
        <w:ind w:left="-720"/>
        <w:jc w:val="center"/>
        <w:outlineLvl w:val="1"/>
        <w:rPr>
          <w:b/>
          <w:i/>
          <w:sz w:val="28"/>
          <w:szCs w:val="28"/>
        </w:rPr>
      </w:pPr>
      <w:r w:rsidRPr="006F2323">
        <w:rPr>
          <w:b/>
          <w:i/>
          <w:sz w:val="28"/>
          <w:szCs w:val="28"/>
        </w:rPr>
        <w:t>Показатель «Доля многоквартирных домов, расположенных на земельных участках, в отношении которых осуществлен государственный кадастровый учет»</w:t>
      </w:r>
    </w:p>
    <w:p w:rsidR="00876445" w:rsidRPr="006F2323" w:rsidRDefault="00876445" w:rsidP="006F2323">
      <w:pPr>
        <w:widowControl w:val="0"/>
        <w:autoSpaceDE w:val="0"/>
        <w:autoSpaceDN w:val="0"/>
        <w:adjustRightInd w:val="0"/>
        <w:ind w:left="-720"/>
        <w:jc w:val="center"/>
        <w:outlineLvl w:val="1"/>
        <w:rPr>
          <w:b/>
          <w:i/>
          <w:sz w:val="28"/>
          <w:szCs w:val="28"/>
        </w:rPr>
      </w:pPr>
    </w:p>
    <w:p w:rsidR="00876445" w:rsidRPr="006F2323" w:rsidRDefault="00876445" w:rsidP="006F2323">
      <w:pPr>
        <w:widowControl w:val="0"/>
        <w:autoSpaceDE w:val="0"/>
        <w:autoSpaceDN w:val="0"/>
        <w:adjustRightInd w:val="0"/>
        <w:ind w:left="-720" w:firstLine="709"/>
        <w:jc w:val="both"/>
        <w:outlineLvl w:val="1"/>
        <w:rPr>
          <w:sz w:val="28"/>
          <w:szCs w:val="28"/>
        </w:rPr>
      </w:pPr>
      <w:r w:rsidRPr="006F2323">
        <w:rPr>
          <w:sz w:val="28"/>
          <w:szCs w:val="28"/>
        </w:rPr>
        <w:lastRenderedPageBreak/>
        <w:t xml:space="preserve">Все земельные участки под многоквартирными домами поставлены на государственный кадастровый учет. Строительство многоквартирных жилых домов осуществляется </w:t>
      </w:r>
      <w:r w:rsidR="006671AA" w:rsidRPr="006F2323">
        <w:rPr>
          <w:sz w:val="28"/>
          <w:szCs w:val="28"/>
        </w:rPr>
        <w:t>после постановки на государственный кадастровый учет земельных участков и предоставления их в аренду под строительство.</w:t>
      </w:r>
    </w:p>
    <w:p w:rsidR="006123C6" w:rsidRPr="006F2323" w:rsidRDefault="006123C6" w:rsidP="006F2323">
      <w:pPr>
        <w:widowControl w:val="0"/>
        <w:autoSpaceDE w:val="0"/>
        <w:autoSpaceDN w:val="0"/>
        <w:adjustRightInd w:val="0"/>
        <w:ind w:left="-720" w:firstLine="709"/>
        <w:jc w:val="both"/>
        <w:outlineLvl w:val="1"/>
        <w:rPr>
          <w:sz w:val="28"/>
          <w:szCs w:val="28"/>
        </w:rPr>
      </w:pPr>
    </w:p>
    <w:p w:rsidR="00D57D78" w:rsidRPr="006F2323" w:rsidRDefault="00D57D78" w:rsidP="006F2323">
      <w:pPr>
        <w:pStyle w:val="a3"/>
        <w:widowControl w:val="0"/>
        <w:tabs>
          <w:tab w:val="left" w:pos="709"/>
        </w:tabs>
        <w:autoSpaceDE w:val="0"/>
        <w:autoSpaceDN w:val="0"/>
        <w:adjustRightInd w:val="0"/>
        <w:spacing w:after="0" w:line="240" w:lineRule="auto"/>
        <w:ind w:left="-720"/>
        <w:contextualSpacing/>
        <w:jc w:val="center"/>
        <w:rPr>
          <w:rFonts w:ascii="Times New Roman" w:hAnsi="Times New Roman" w:cs="Times New Roman"/>
          <w:b/>
          <w:i/>
          <w:sz w:val="28"/>
          <w:szCs w:val="28"/>
        </w:rPr>
      </w:pPr>
      <w:r w:rsidRPr="006F2323">
        <w:rPr>
          <w:rFonts w:ascii="Times New Roman" w:hAnsi="Times New Roman" w:cs="Times New Roman"/>
          <w:b/>
          <w:i/>
          <w:sz w:val="28"/>
          <w:szCs w:val="28"/>
        </w:rPr>
        <w:t>Показатель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D57D78" w:rsidRPr="006F2323" w:rsidRDefault="00D57D78" w:rsidP="006F2323">
      <w:pPr>
        <w:widowControl w:val="0"/>
        <w:tabs>
          <w:tab w:val="left" w:pos="709"/>
        </w:tabs>
        <w:autoSpaceDE w:val="0"/>
        <w:autoSpaceDN w:val="0"/>
        <w:adjustRightInd w:val="0"/>
        <w:ind w:left="-720" w:firstLine="709"/>
        <w:jc w:val="both"/>
        <w:outlineLvl w:val="1"/>
        <w:rPr>
          <w:sz w:val="28"/>
          <w:szCs w:val="28"/>
        </w:rPr>
      </w:pPr>
      <w:r w:rsidRPr="006F2323">
        <w:rPr>
          <w:sz w:val="28"/>
          <w:szCs w:val="28"/>
        </w:rPr>
        <w:t>Доля основных фондов организаций муниципальной формы собственности, находящихся в стадии банкротства, в муниципальном образовании Нижневартовский район отсутствует.</w:t>
      </w:r>
    </w:p>
    <w:p w:rsidR="00D57D78" w:rsidRPr="006F2323" w:rsidRDefault="00D57D78" w:rsidP="006F2323">
      <w:pPr>
        <w:widowControl w:val="0"/>
        <w:tabs>
          <w:tab w:val="left" w:pos="709"/>
        </w:tabs>
        <w:autoSpaceDE w:val="0"/>
        <w:autoSpaceDN w:val="0"/>
        <w:adjustRightInd w:val="0"/>
        <w:ind w:left="-720" w:firstLine="709"/>
        <w:jc w:val="both"/>
        <w:rPr>
          <w:bCs/>
          <w:color w:val="FF0000"/>
          <w:lang w:eastAsia="en-US"/>
        </w:rPr>
      </w:pPr>
    </w:p>
    <w:p w:rsidR="00D57D78" w:rsidRPr="006F2323" w:rsidRDefault="00C54F6E" w:rsidP="006F2323">
      <w:pPr>
        <w:pStyle w:val="a3"/>
        <w:widowControl w:val="0"/>
        <w:tabs>
          <w:tab w:val="left" w:pos="709"/>
        </w:tabs>
        <w:autoSpaceDE w:val="0"/>
        <w:autoSpaceDN w:val="0"/>
        <w:adjustRightInd w:val="0"/>
        <w:spacing w:after="0" w:line="240" w:lineRule="auto"/>
        <w:ind w:left="-720"/>
        <w:contextualSpacing/>
        <w:jc w:val="center"/>
        <w:rPr>
          <w:rFonts w:ascii="Times New Roman" w:hAnsi="Times New Roman" w:cs="Times New Roman"/>
          <w:b/>
          <w:i/>
          <w:sz w:val="28"/>
          <w:szCs w:val="28"/>
        </w:rPr>
      </w:pPr>
      <w:r w:rsidRPr="006F2323">
        <w:rPr>
          <w:rFonts w:ascii="Times New Roman" w:hAnsi="Times New Roman" w:cs="Times New Roman"/>
          <w:b/>
          <w:i/>
          <w:sz w:val="28"/>
          <w:szCs w:val="28"/>
        </w:rPr>
        <w:t>Показатель</w:t>
      </w:r>
      <w:r w:rsidR="00D57D78" w:rsidRPr="006F2323">
        <w:rPr>
          <w:rFonts w:ascii="Times New Roman" w:hAnsi="Times New Roman" w:cs="Times New Roman"/>
          <w:b/>
          <w:i/>
          <w:sz w:val="28"/>
          <w:szCs w:val="28"/>
        </w:rPr>
        <w:t xml:space="preserve"> «Объем незавершенного в установленные сроки строительства, осуществляемого за счет средств бюджета городского округа (муниципального района)»</w:t>
      </w:r>
    </w:p>
    <w:p w:rsidR="00D57D78" w:rsidRPr="006F2323" w:rsidRDefault="00D57D78" w:rsidP="006F2323">
      <w:pPr>
        <w:widowControl w:val="0"/>
        <w:tabs>
          <w:tab w:val="left" w:pos="709"/>
        </w:tabs>
        <w:autoSpaceDE w:val="0"/>
        <w:autoSpaceDN w:val="0"/>
        <w:adjustRightInd w:val="0"/>
        <w:ind w:left="-720" w:firstLine="709"/>
        <w:jc w:val="both"/>
        <w:rPr>
          <w:sz w:val="28"/>
          <w:szCs w:val="28"/>
        </w:rPr>
      </w:pPr>
      <w:r w:rsidRPr="006F2323">
        <w:rPr>
          <w:sz w:val="28"/>
          <w:szCs w:val="28"/>
        </w:rPr>
        <w:t xml:space="preserve">На территории </w:t>
      </w:r>
      <w:r w:rsidR="00A6597F" w:rsidRPr="006F2323">
        <w:rPr>
          <w:sz w:val="28"/>
          <w:szCs w:val="28"/>
        </w:rPr>
        <w:t>Нижневартовского</w:t>
      </w:r>
      <w:r w:rsidRPr="006F2323">
        <w:rPr>
          <w:sz w:val="28"/>
          <w:szCs w:val="28"/>
        </w:rPr>
        <w:t xml:space="preserve"> района отсутствуют объекты незавершенного в установленные сроки капитального строительства</w:t>
      </w:r>
      <w:r w:rsidR="00120946" w:rsidRPr="006F2323">
        <w:rPr>
          <w:sz w:val="28"/>
          <w:szCs w:val="28"/>
        </w:rPr>
        <w:t>,</w:t>
      </w:r>
      <w:r w:rsidR="00120946" w:rsidRPr="006F2323">
        <w:rPr>
          <w:b/>
          <w:i/>
          <w:sz w:val="28"/>
          <w:szCs w:val="28"/>
        </w:rPr>
        <w:t xml:space="preserve"> </w:t>
      </w:r>
      <w:r w:rsidR="00120946" w:rsidRPr="006F2323">
        <w:rPr>
          <w:sz w:val="28"/>
          <w:szCs w:val="28"/>
        </w:rPr>
        <w:t>осуществляемые за счет средств бюджета района</w:t>
      </w:r>
      <w:r w:rsidRPr="006F2323">
        <w:rPr>
          <w:sz w:val="28"/>
          <w:szCs w:val="28"/>
        </w:rPr>
        <w:t>.</w:t>
      </w:r>
    </w:p>
    <w:p w:rsidR="006123C6" w:rsidRPr="006F2323" w:rsidRDefault="006123C6" w:rsidP="006F2323">
      <w:pPr>
        <w:widowControl w:val="0"/>
        <w:tabs>
          <w:tab w:val="left" w:pos="709"/>
        </w:tabs>
        <w:autoSpaceDE w:val="0"/>
        <w:autoSpaceDN w:val="0"/>
        <w:adjustRightInd w:val="0"/>
        <w:ind w:left="-720" w:firstLine="709"/>
        <w:jc w:val="both"/>
        <w:outlineLvl w:val="1"/>
        <w:rPr>
          <w:sz w:val="28"/>
          <w:szCs w:val="28"/>
        </w:rPr>
      </w:pPr>
    </w:p>
    <w:p w:rsidR="00525901" w:rsidRPr="006F2323" w:rsidRDefault="00525901" w:rsidP="006F2323">
      <w:pPr>
        <w:widowControl w:val="0"/>
        <w:autoSpaceDE w:val="0"/>
        <w:autoSpaceDN w:val="0"/>
        <w:adjustRightInd w:val="0"/>
        <w:ind w:left="-720" w:firstLine="709"/>
        <w:jc w:val="center"/>
        <w:rPr>
          <w:b/>
          <w:i/>
          <w:sz w:val="28"/>
          <w:szCs w:val="28"/>
        </w:rPr>
      </w:pPr>
      <w:r w:rsidRPr="006F2323">
        <w:rPr>
          <w:b/>
          <w:i/>
          <w:sz w:val="28"/>
          <w:szCs w:val="28"/>
        </w:rPr>
        <w:t>Информация по дополнительным показателям, включенная в доклад главы Нижневартовского района о достигнутых значениях показателей для оценки эффективности деятельности органов местного самоуправления на 201</w:t>
      </w:r>
      <w:r w:rsidR="004D72B7" w:rsidRPr="006F2323">
        <w:rPr>
          <w:b/>
          <w:i/>
          <w:sz w:val="28"/>
          <w:szCs w:val="28"/>
        </w:rPr>
        <w:t>9</w:t>
      </w:r>
      <w:r w:rsidRPr="006F2323">
        <w:rPr>
          <w:b/>
          <w:i/>
          <w:sz w:val="28"/>
          <w:szCs w:val="28"/>
        </w:rPr>
        <w:t xml:space="preserve"> год и их планируемых значениях на 3-летний период.</w:t>
      </w:r>
    </w:p>
    <w:p w:rsidR="006F2323" w:rsidRDefault="006F2323" w:rsidP="006F2323">
      <w:pPr>
        <w:widowControl w:val="0"/>
        <w:autoSpaceDE w:val="0"/>
        <w:autoSpaceDN w:val="0"/>
        <w:adjustRightInd w:val="0"/>
        <w:ind w:left="-720" w:firstLine="709"/>
        <w:jc w:val="center"/>
        <w:rPr>
          <w:b/>
          <w:sz w:val="28"/>
          <w:szCs w:val="28"/>
        </w:rPr>
      </w:pPr>
    </w:p>
    <w:p w:rsidR="00525901" w:rsidRPr="006F2323" w:rsidRDefault="00525901" w:rsidP="006F2323">
      <w:pPr>
        <w:widowControl w:val="0"/>
        <w:autoSpaceDE w:val="0"/>
        <w:autoSpaceDN w:val="0"/>
        <w:adjustRightInd w:val="0"/>
        <w:ind w:left="-720" w:firstLine="709"/>
        <w:jc w:val="center"/>
        <w:rPr>
          <w:sz w:val="28"/>
          <w:szCs w:val="28"/>
        </w:rPr>
      </w:pPr>
      <w:r w:rsidRPr="006F2323">
        <w:rPr>
          <w:b/>
          <w:sz w:val="28"/>
          <w:szCs w:val="28"/>
        </w:rPr>
        <w:t>Охрана прав граждан и юридических лиц</w:t>
      </w:r>
    </w:p>
    <w:p w:rsidR="004D72B7" w:rsidRPr="006F2323" w:rsidRDefault="004D72B7" w:rsidP="006F2323">
      <w:pPr>
        <w:pStyle w:val="ConsPlusNormal"/>
        <w:ind w:left="-720" w:firstLine="540"/>
        <w:jc w:val="both"/>
        <w:rPr>
          <w:rFonts w:ascii="Times New Roman" w:hAnsi="Times New Roman" w:cs="Times New Roman"/>
          <w:sz w:val="28"/>
          <w:szCs w:val="28"/>
        </w:rPr>
      </w:pPr>
      <w:r w:rsidRPr="006F2323">
        <w:rPr>
          <w:rFonts w:ascii="Times New Roman" w:hAnsi="Times New Roman" w:cs="Times New Roman"/>
          <w:sz w:val="28"/>
          <w:szCs w:val="28"/>
        </w:rPr>
        <w:t>В 2019 году поступило 2 заявления о признании незаконными правовых актов, решений и действий (бездействия) органов местного самоуправления, организаций и их должностных лиц.</w:t>
      </w:r>
    </w:p>
    <w:p w:rsidR="004D72B7" w:rsidRPr="004D72B7" w:rsidRDefault="004D72B7" w:rsidP="006F2323">
      <w:pPr>
        <w:ind w:left="-720" w:firstLine="567"/>
        <w:jc w:val="both"/>
        <w:rPr>
          <w:sz w:val="28"/>
          <w:szCs w:val="28"/>
        </w:rPr>
      </w:pPr>
      <w:r w:rsidRPr="006F2323">
        <w:rPr>
          <w:sz w:val="28"/>
          <w:szCs w:val="28"/>
        </w:rPr>
        <w:t>Вступивших в законную силу решений судов о признании незаконными правовых актов, решений и действий (бездействия) органов местного самоуправления, организаций и их должностных лиц, в 2019 году не имеется.</w:t>
      </w:r>
      <w:r w:rsidRPr="004D72B7">
        <w:rPr>
          <w:sz w:val="28"/>
          <w:szCs w:val="28"/>
        </w:rPr>
        <w:t xml:space="preserve"> </w:t>
      </w:r>
    </w:p>
    <w:sectPr w:rsidR="004D72B7" w:rsidRPr="004D72B7" w:rsidSect="00262881">
      <w:pgSz w:w="11906" w:h="16838" w:code="9"/>
      <w:pgMar w:top="1134" w:right="567" w:bottom="71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1A6" w:rsidRDefault="008D11A6">
      <w:r>
        <w:separator/>
      </w:r>
    </w:p>
  </w:endnote>
  <w:endnote w:type="continuationSeparator" w:id="0">
    <w:p w:rsidR="008D11A6" w:rsidRDefault="008D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1A6" w:rsidRDefault="008D11A6">
      <w:r>
        <w:separator/>
      </w:r>
    </w:p>
  </w:footnote>
  <w:footnote w:type="continuationSeparator" w:id="0">
    <w:p w:rsidR="008D11A6" w:rsidRDefault="008D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874F5"/>
    <w:multiLevelType w:val="hybridMultilevel"/>
    <w:tmpl w:val="48E017B8"/>
    <w:lvl w:ilvl="0" w:tplc="AAAE7B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B31655A"/>
    <w:multiLevelType w:val="hybridMultilevel"/>
    <w:tmpl w:val="49F0D92E"/>
    <w:lvl w:ilvl="0" w:tplc="D19A92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60"/>
    <w:rsid w:val="00001544"/>
    <w:rsid w:val="00001F1D"/>
    <w:rsid w:val="00010433"/>
    <w:rsid w:val="0001191B"/>
    <w:rsid w:val="00013405"/>
    <w:rsid w:val="000168DE"/>
    <w:rsid w:val="00035595"/>
    <w:rsid w:val="0004666A"/>
    <w:rsid w:val="0005435A"/>
    <w:rsid w:val="000645F9"/>
    <w:rsid w:val="000739F8"/>
    <w:rsid w:val="000768EA"/>
    <w:rsid w:val="000772EC"/>
    <w:rsid w:val="00083007"/>
    <w:rsid w:val="0008303E"/>
    <w:rsid w:val="00090733"/>
    <w:rsid w:val="000937AF"/>
    <w:rsid w:val="00096871"/>
    <w:rsid w:val="000A7CEA"/>
    <w:rsid w:val="000B1477"/>
    <w:rsid w:val="000B4281"/>
    <w:rsid w:val="000B531A"/>
    <w:rsid w:val="000D10C2"/>
    <w:rsid w:val="000F1CE9"/>
    <w:rsid w:val="000F23E7"/>
    <w:rsid w:val="000F3505"/>
    <w:rsid w:val="000F4F04"/>
    <w:rsid w:val="00101CC3"/>
    <w:rsid w:val="001048F1"/>
    <w:rsid w:val="0011352B"/>
    <w:rsid w:val="00114976"/>
    <w:rsid w:val="00120946"/>
    <w:rsid w:val="00121116"/>
    <w:rsid w:val="00123329"/>
    <w:rsid w:val="00134FDB"/>
    <w:rsid w:val="00140F18"/>
    <w:rsid w:val="001464B7"/>
    <w:rsid w:val="00147C1B"/>
    <w:rsid w:val="0015744D"/>
    <w:rsid w:val="00163407"/>
    <w:rsid w:val="00164540"/>
    <w:rsid w:val="001654F9"/>
    <w:rsid w:val="00165E3C"/>
    <w:rsid w:val="0017061C"/>
    <w:rsid w:val="00183F8B"/>
    <w:rsid w:val="001A7860"/>
    <w:rsid w:val="001B09DC"/>
    <w:rsid w:val="001B4DB9"/>
    <w:rsid w:val="001B575D"/>
    <w:rsid w:val="001B7284"/>
    <w:rsid w:val="001B7F18"/>
    <w:rsid w:val="001C7CF2"/>
    <w:rsid w:val="001D2D13"/>
    <w:rsid w:val="001E4379"/>
    <w:rsid w:val="001E4765"/>
    <w:rsid w:val="001E705E"/>
    <w:rsid w:val="001F6249"/>
    <w:rsid w:val="001F7130"/>
    <w:rsid w:val="002026B5"/>
    <w:rsid w:val="002039BF"/>
    <w:rsid w:val="0022310C"/>
    <w:rsid w:val="0022711C"/>
    <w:rsid w:val="0023093D"/>
    <w:rsid w:val="002344E5"/>
    <w:rsid w:val="002350F6"/>
    <w:rsid w:val="00240193"/>
    <w:rsid w:val="00240F1F"/>
    <w:rsid w:val="002429A9"/>
    <w:rsid w:val="00246F2A"/>
    <w:rsid w:val="002512E5"/>
    <w:rsid w:val="002533C8"/>
    <w:rsid w:val="00255399"/>
    <w:rsid w:val="0026084C"/>
    <w:rsid w:val="002609A4"/>
    <w:rsid w:val="00262881"/>
    <w:rsid w:val="0026455F"/>
    <w:rsid w:val="002668DB"/>
    <w:rsid w:val="002714CE"/>
    <w:rsid w:val="00276102"/>
    <w:rsid w:val="00283043"/>
    <w:rsid w:val="00285A1D"/>
    <w:rsid w:val="00291E28"/>
    <w:rsid w:val="002943B6"/>
    <w:rsid w:val="002A2F13"/>
    <w:rsid w:val="002A5B2E"/>
    <w:rsid w:val="002B055D"/>
    <w:rsid w:val="002E08A1"/>
    <w:rsid w:val="002E772B"/>
    <w:rsid w:val="002F4151"/>
    <w:rsid w:val="002F4D45"/>
    <w:rsid w:val="002F6DB1"/>
    <w:rsid w:val="00300772"/>
    <w:rsid w:val="00302C5A"/>
    <w:rsid w:val="00303547"/>
    <w:rsid w:val="00303A10"/>
    <w:rsid w:val="00303C16"/>
    <w:rsid w:val="0031269F"/>
    <w:rsid w:val="00320859"/>
    <w:rsid w:val="00321CFE"/>
    <w:rsid w:val="00327D57"/>
    <w:rsid w:val="00327E6F"/>
    <w:rsid w:val="003350A7"/>
    <w:rsid w:val="00354A7B"/>
    <w:rsid w:val="00362E9A"/>
    <w:rsid w:val="003676FD"/>
    <w:rsid w:val="00367F28"/>
    <w:rsid w:val="0037543A"/>
    <w:rsid w:val="003839B9"/>
    <w:rsid w:val="003850C3"/>
    <w:rsid w:val="0038693B"/>
    <w:rsid w:val="003A640A"/>
    <w:rsid w:val="003D10BF"/>
    <w:rsid w:val="003E5CB0"/>
    <w:rsid w:val="00402280"/>
    <w:rsid w:val="00416361"/>
    <w:rsid w:val="00417E80"/>
    <w:rsid w:val="00441C54"/>
    <w:rsid w:val="00466431"/>
    <w:rsid w:val="00477A6E"/>
    <w:rsid w:val="00485C77"/>
    <w:rsid w:val="004912E0"/>
    <w:rsid w:val="004A10F1"/>
    <w:rsid w:val="004C401D"/>
    <w:rsid w:val="004C4F40"/>
    <w:rsid w:val="004C7DDA"/>
    <w:rsid w:val="004D72B7"/>
    <w:rsid w:val="004E0E34"/>
    <w:rsid w:val="004F0557"/>
    <w:rsid w:val="004F3165"/>
    <w:rsid w:val="00504571"/>
    <w:rsid w:val="0052140A"/>
    <w:rsid w:val="00521D50"/>
    <w:rsid w:val="0052454D"/>
    <w:rsid w:val="00525901"/>
    <w:rsid w:val="00543193"/>
    <w:rsid w:val="00551100"/>
    <w:rsid w:val="00556677"/>
    <w:rsid w:val="00557186"/>
    <w:rsid w:val="00561915"/>
    <w:rsid w:val="00572E87"/>
    <w:rsid w:val="00573D80"/>
    <w:rsid w:val="00581880"/>
    <w:rsid w:val="005853F2"/>
    <w:rsid w:val="00585A48"/>
    <w:rsid w:val="0059472A"/>
    <w:rsid w:val="005A57AD"/>
    <w:rsid w:val="005A72D3"/>
    <w:rsid w:val="005B1D9D"/>
    <w:rsid w:val="005B4F9F"/>
    <w:rsid w:val="005C7495"/>
    <w:rsid w:val="005D423D"/>
    <w:rsid w:val="005F0409"/>
    <w:rsid w:val="005F32F4"/>
    <w:rsid w:val="005F58E9"/>
    <w:rsid w:val="006021BB"/>
    <w:rsid w:val="006021E6"/>
    <w:rsid w:val="006049DD"/>
    <w:rsid w:val="006123C6"/>
    <w:rsid w:val="00622E66"/>
    <w:rsid w:val="006233BA"/>
    <w:rsid w:val="006317DC"/>
    <w:rsid w:val="0063616E"/>
    <w:rsid w:val="0066183A"/>
    <w:rsid w:val="00665DAA"/>
    <w:rsid w:val="006671AA"/>
    <w:rsid w:val="00672681"/>
    <w:rsid w:val="00674E71"/>
    <w:rsid w:val="00680227"/>
    <w:rsid w:val="00691AD4"/>
    <w:rsid w:val="006B1882"/>
    <w:rsid w:val="006B320D"/>
    <w:rsid w:val="006B6E09"/>
    <w:rsid w:val="006C4EA3"/>
    <w:rsid w:val="006C5A02"/>
    <w:rsid w:val="006C7485"/>
    <w:rsid w:val="006D4B68"/>
    <w:rsid w:val="006D6950"/>
    <w:rsid w:val="006D7D25"/>
    <w:rsid w:val="006E3F37"/>
    <w:rsid w:val="006E6A53"/>
    <w:rsid w:val="006F2323"/>
    <w:rsid w:val="006F26B7"/>
    <w:rsid w:val="006F7011"/>
    <w:rsid w:val="00706A41"/>
    <w:rsid w:val="00707F16"/>
    <w:rsid w:val="007136A1"/>
    <w:rsid w:val="007140E8"/>
    <w:rsid w:val="00717DDE"/>
    <w:rsid w:val="00724CCB"/>
    <w:rsid w:val="0073106E"/>
    <w:rsid w:val="00731EC9"/>
    <w:rsid w:val="0074493A"/>
    <w:rsid w:val="007541D9"/>
    <w:rsid w:val="00754DEC"/>
    <w:rsid w:val="00755DEF"/>
    <w:rsid w:val="007668E3"/>
    <w:rsid w:val="00770E83"/>
    <w:rsid w:val="0078273E"/>
    <w:rsid w:val="007A1EFD"/>
    <w:rsid w:val="007A6561"/>
    <w:rsid w:val="007B45AD"/>
    <w:rsid w:val="007B72D0"/>
    <w:rsid w:val="007C211D"/>
    <w:rsid w:val="007D2FEC"/>
    <w:rsid w:val="007D3C97"/>
    <w:rsid w:val="007D617B"/>
    <w:rsid w:val="007F2D27"/>
    <w:rsid w:val="007F6061"/>
    <w:rsid w:val="00802EE4"/>
    <w:rsid w:val="0080620A"/>
    <w:rsid w:val="0081006F"/>
    <w:rsid w:val="0082479D"/>
    <w:rsid w:val="008652D0"/>
    <w:rsid w:val="00876445"/>
    <w:rsid w:val="00882DDF"/>
    <w:rsid w:val="008869AA"/>
    <w:rsid w:val="008915CD"/>
    <w:rsid w:val="0089794D"/>
    <w:rsid w:val="008A5A2F"/>
    <w:rsid w:val="008C1E0A"/>
    <w:rsid w:val="008D11A6"/>
    <w:rsid w:val="008D6BBE"/>
    <w:rsid w:val="008D6D74"/>
    <w:rsid w:val="008D77AB"/>
    <w:rsid w:val="008F450F"/>
    <w:rsid w:val="009066E2"/>
    <w:rsid w:val="009076F4"/>
    <w:rsid w:val="00907BF6"/>
    <w:rsid w:val="0091147D"/>
    <w:rsid w:val="00912605"/>
    <w:rsid w:val="00931D84"/>
    <w:rsid w:val="00932FD6"/>
    <w:rsid w:val="009454AB"/>
    <w:rsid w:val="009553BC"/>
    <w:rsid w:val="00957830"/>
    <w:rsid w:val="0096783E"/>
    <w:rsid w:val="0096799E"/>
    <w:rsid w:val="0097032F"/>
    <w:rsid w:val="0098754C"/>
    <w:rsid w:val="0099332F"/>
    <w:rsid w:val="0099376E"/>
    <w:rsid w:val="00993D62"/>
    <w:rsid w:val="009A22F9"/>
    <w:rsid w:val="009A30C0"/>
    <w:rsid w:val="009C5A61"/>
    <w:rsid w:val="009C697C"/>
    <w:rsid w:val="009D0062"/>
    <w:rsid w:val="009D6BBC"/>
    <w:rsid w:val="009E2072"/>
    <w:rsid w:val="009F0551"/>
    <w:rsid w:val="009F3513"/>
    <w:rsid w:val="009F4AF8"/>
    <w:rsid w:val="009F5C57"/>
    <w:rsid w:val="009F7698"/>
    <w:rsid w:val="00A1308F"/>
    <w:rsid w:val="00A13DEA"/>
    <w:rsid w:val="00A15B11"/>
    <w:rsid w:val="00A16DE8"/>
    <w:rsid w:val="00A20045"/>
    <w:rsid w:val="00A231E3"/>
    <w:rsid w:val="00A348FB"/>
    <w:rsid w:val="00A4258A"/>
    <w:rsid w:val="00A428B7"/>
    <w:rsid w:val="00A5383E"/>
    <w:rsid w:val="00A62011"/>
    <w:rsid w:val="00A62102"/>
    <w:rsid w:val="00A6597F"/>
    <w:rsid w:val="00A6746E"/>
    <w:rsid w:val="00A67F7E"/>
    <w:rsid w:val="00A73AC5"/>
    <w:rsid w:val="00A80FC5"/>
    <w:rsid w:val="00A91115"/>
    <w:rsid w:val="00A9639F"/>
    <w:rsid w:val="00AE0898"/>
    <w:rsid w:val="00AE1587"/>
    <w:rsid w:val="00AE7C95"/>
    <w:rsid w:val="00AF5E0F"/>
    <w:rsid w:val="00B07449"/>
    <w:rsid w:val="00B25CAC"/>
    <w:rsid w:val="00B50F43"/>
    <w:rsid w:val="00B51CA7"/>
    <w:rsid w:val="00B60494"/>
    <w:rsid w:val="00B605C2"/>
    <w:rsid w:val="00B65377"/>
    <w:rsid w:val="00B662AB"/>
    <w:rsid w:val="00B714C5"/>
    <w:rsid w:val="00B73B1E"/>
    <w:rsid w:val="00B92333"/>
    <w:rsid w:val="00B96004"/>
    <w:rsid w:val="00BA749D"/>
    <w:rsid w:val="00BB2B6D"/>
    <w:rsid w:val="00BB625B"/>
    <w:rsid w:val="00BB784B"/>
    <w:rsid w:val="00BC16CB"/>
    <w:rsid w:val="00BD17B2"/>
    <w:rsid w:val="00BD1CF2"/>
    <w:rsid w:val="00BD2562"/>
    <w:rsid w:val="00BD2BB7"/>
    <w:rsid w:val="00BD73C3"/>
    <w:rsid w:val="00BE0940"/>
    <w:rsid w:val="00BE2709"/>
    <w:rsid w:val="00BF5CCA"/>
    <w:rsid w:val="00C0185A"/>
    <w:rsid w:val="00C04860"/>
    <w:rsid w:val="00C0514D"/>
    <w:rsid w:val="00C0549F"/>
    <w:rsid w:val="00C070B3"/>
    <w:rsid w:val="00C07509"/>
    <w:rsid w:val="00C12AF3"/>
    <w:rsid w:val="00C24D0D"/>
    <w:rsid w:val="00C35C82"/>
    <w:rsid w:val="00C42D7A"/>
    <w:rsid w:val="00C54F6E"/>
    <w:rsid w:val="00C71A45"/>
    <w:rsid w:val="00C931FE"/>
    <w:rsid w:val="00CC417F"/>
    <w:rsid w:val="00CC772E"/>
    <w:rsid w:val="00CD1AFE"/>
    <w:rsid w:val="00CE07EA"/>
    <w:rsid w:val="00D0126A"/>
    <w:rsid w:val="00D14177"/>
    <w:rsid w:val="00D16312"/>
    <w:rsid w:val="00D16D12"/>
    <w:rsid w:val="00D30518"/>
    <w:rsid w:val="00D32DBD"/>
    <w:rsid w:val="00D44725"/>
    <w:rsid w:val="00D57D78"/>
    <w:rsid w:val="00D64ABA"/>
    <w:rsid w:val="00D733E1"/>
    <w:rsid w:val="00D75C5D"/>
    <w:rsid w:val="00D801C5"/>
    <w:rsid w:val="00D81442"/>
    <w:rsid w:val="00D95094"/>
    <w:rsid w:val="00DB604F"/>
    <w:rsid w:val="00DC0DA9"/>
    <w:rsid w:val="00DC2549"/>
    <w:rsid w:val="00DC32C0"/>
    <w:rsid w:val="00DC68F4"/>
    <w:rsid w:val="00DE63DE"/>
    <w:rsid w:val="00DF26D1"/>
    <w:rsid w:val="00E128B3"/>
    <w:rsid w:val="00E140E8"/>
    <w:rsid w:val="00E178BA"/>
    <w:rsid w:val="00E20578"/>
    <w:rsid w:val="00E23D9E"/>
    <w:rsid w:val="00E270B0"/>
    <w:rsid w:val="00E33EB3"/>
    <w:rsid w:val="00E35FCD"/>
    <w:rsid w:val="00E43BFD"/>
    <w:rsid w:val="00E6096B"/>
    <w:rsid w:val="00E6119F"/>
    <w:rsid w:val="00E629B3"/>
    <w:rsid w:val="00E64D29"/>
    <w:rsid w:val="00E7432B"/>
    <w:rsid w:val="00E76163"/>
    <w:rsid w:val="00E851E3"/>
    <w:rsid w:val="00E91C3A"/>
    <w:rsid w:val="00E95398"/>
    <w:rsid w:val="00E95C95"/>
    <w:rsid w:val="00E9625D"/>
    <w:rsid w:val="00E97970"/>
    <w:rsid w:val="00EA7981"/>
    <w:rsid w:val="00EB1A12"/>
    <w:rsid w:val="00EB28F5"/>
    <w:rsid w:val="00EB6A43"/>
    <w:rsid w:val="00EC35D0"/>
    <w:rsid w:val="00EC45D4"/>
    <w:rsid w:val="00ED2077"/>
    <w:rsid w:val="00EE57A9"/>
    <w:rsid w:val="00EE6697"/>
    <w:rsid w:val="00EE6722"/>
    <w:rsid w:val="00EF5C59"/>
    <w:rsid w:val="00EF60C9"/>
    <w:rsid w:val="00F02912"/>
    <w:rsid w:val="00F05683"/>
    <w:rsid w:val="00F05BC3"/>
    <w:rsid w:val="00F173C1"/>
    <w:rsid w:val="00F25C64"/>
    <w:rsid w:val="00F27193"/>
    <w:rsid w:val="00F32A2E"/>
    <w:rsid w:val="00F3578E"/>
    <w:rsid w:val="00F41838"/>
    <w:rsid w:val="00F44851"/>
    <w:rsid w:val="00F5186C"/>
    <w:rsid w:val="00F528AB"/>
    <w:rsid w:val="00F56723"/>
    <w:rsid w:val="00F6142D"/>
    <w:rsid w:val="00F669D0"/>
    <w:rsid w:val="00F72323"/>
    <w:rsid w:val="00F91ADC"/>
    <w:rsid w:val="00F93260"/>
    <w:rsid w:val="00F94900"/>
    <w:rsid w:val="00FA0EEA"/>
    <w:rsid w:val="00FA38DB"/>
    <w:rsid w:val="00FB4DEF"/>
    <w:rsid w:val="00FB6187"/>
    <w:rsid w:val="00FB62A1"/>
    <w:rsid w:val="00FB71B3"/>
    <w:rsid w:val="00FC7E78"/>
    <w:rsid w:val="00FD7BB1"/>
    <w:rsid w:val="00FE0FF9"/>
    <w:rsid w:val="00FE2B7C"/>
    <w:rsid w:val="00FE46B4"/>
    <w:rsid w:val="00FF4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FF1A5-BC8C-4DB8-8F21-884AA6B4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8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801C5"/>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0"/>
    <w:uiPriority w:val="99"/>
    <w:rsid w:val="001A78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uiPriority w:val="99"/>
    <w:rsid w:val="001A7860"/>
    <w:rPr>
      <w:rFonts w:ascii="Arial" w:eastAsia="Times New Roman" w:hAnsi="Arial" w:cs="Arial"/>
      <w:b/>
      <w:bCs/>
      <w:sz w:val="20"/>
      <w:szCs w:val="20"/>
      <w:lang w:eastAsia="ru-RU"/>
    </w:rPr>
  </w:style>
  <w:style w:type="paragraph" w:styleId="a3">
    <w:name w:val="List Paragraph"/>
    <w:basedOn w:val="a"/>
    <w:uiPriority w:val="34"/>
    <w:qFormat/>
    <w:rsid w:val="001A7860"/>
    <w:pPr>
      <w:spacing w:after="200" w:line="276" w:lineRule="auto"/>
      <w:ind w:left="720"/>
    </w:pPr>
    <w:rPr>
      <w:rFonts w:ascii="Calibri" w:hAnsi="Calibri" w:cs="Calibri"/>
      <w:sz w:val="22"/>
      <w:szCs w:val="22"/>
    </w:rPr>
  </w:style>
  <w:style w:type="character" w:styleId="a4">
    <w:name w:val="Hyperlink"/>
    <w:basedOn w:val="a0"/>
    <w:rsid w:val="001A7860"/>
    <w:rPr>
      <w:color w:val="0000FF"/>
      <w:u w:val="single"/>
    </w:rPr>
  </w:style>
  <w:style w:type="table" w:styleId="a5">
    <w:name w:val="Table Grid"/>
    <w:basedOn w:val="a1"/>
    <w:uiPriority w:val="59"/>
    <w:rsid w:val="001A786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nhideWhenUsed/>
    <w:rsid w:val="001A7860"/>
    <w:pPr>
      <w:tabs>
        <w:tab w:val="center" w:pos="4677"/>
        <w:tab w:val="right" w:pos="9355"/>
      </w:tabs>
    </w:pPr>
  </w:style>
  <w:style w:type="character" w:customStyle="1" w:styleId="a7">
    <w:name w:val="Верхний колонтитул Знак"/>
    <w:basedOn w:val="a0"/>
    <w:link w:val="a6"/>
    <w:rsid w:val="001A7860"/>
    <w:rPr>
      <w:rFonts w:ascii="Times New Roman" w:eastAsia="Times New Roman" w:hAnsi="Times New Roman" w:cs="Times New Roman"/>
      <w:sz w:val="24"/>
      <w:szCs w:val="24"/>
      <w:lang w:eastAsia="ru-RU"/>
    </w:rPr>
  </w:style>
  <w:style w:type="paragraph" w:customStyle="1" w:styleId="14">
    <w:name w:val="Обычный+14п"/>
    <w:basedOn w:val="a8"/>
    <w:uiPriority w:val="99"/>
    <w:rsid w:val="002943B6"/>
    <w:pPr>
      <w:spacing w:line="360" w:lineRule="auto"/>
      <w:ind w:firstLine="709"/>
      <w:jc w:val="both"/>
      <w:outlineLvl w:val="0"/>
    </w:pPr>
    <w:rPr>
      <w:bCs/>
      <w:kern w:val="36"/>
    </w:rPr>
  </w:style>
  <w:style w:type="character" w:styleId="a9">
    <w:name w:val="Strong"/>
    <w:basedOn w:val="a0"/>
    <w:uiPriority w:val="22"/>
    <w:qFormat/>
    <w:rsid w:val="002943B6"/>
    <w:rPr>
      <w:rFonts w:cs="Times New Roman"/>
      <w:b/>
      <w:bCs/>
    </w:rPr>
  </w:style>
  <w:style w:type="paragraph" w:styleId="a8">
    <w:name w:val="Body Text"/>
    <w:basedOn w:val="a"/>
    <w:link w:val="aa"/>
    <w:uiPriority w:val="99"/>
    <w:semiHidden/>
    <w:unhideWhenUsed/>
    <w:rsid w:val="002943B6"/>
    <w:pPr>
      <w:spacing w:after="120"/>
    </w:pPr>
  </w:style>
  <w:style w:type="character" w:customStyle="1" w:styleId="aa">
    <w:name w:val="Основной текст Знак"/>
    <w:basedOn w:val="a0"/>
    <w:link w:val="a8"/>
    <w:uiPriority w:val="99"/>
    <w:semiHidden/>
    <w:rsid w:val="002943B6"/>
    <w:rPr>
      <w:rFonts w:ascii="Times New Roman" w:eastAsia="Times New Roman" w:hAnsi="Times New Roman" w:cs="Times New Roman"/>
      <w:sz w:val="24"/>
      <w:szCs w:val="24"/>
      <w:lang w:eastAsia="ru-RU"/>
    </w:rPr>
  </w:style>
  <w:style w:type="paragraph" w:styleId="ab">
    <w:name w:val="Normal (Web)"/>
    <w:basedOn w:val="a"/>
    <w:uiPriority w:val="99"/>
    <w:unhideWhenUsed/>
    <w:rsid w:val="006C5A02"/>
    <w:pPr>
      <w:spacing w:before="100" w:beforeAutospacing="1" w:after="100" w:afterAutospacing="1"/>
    </w:pPr>
    <w:rPr>
      <w:rFonts w:eastAsiaTheme="minorEastAsia"/>
    </w:rPr>
  </w:style>
  <w:style w:type="character" w:customStyle="1" w:styleId="10">
    <w:name w:val="Заголовок 1 Знак"/>
    <w:basedOn w:val="a0"/>
    <w:link w:val="1"/>
    <w:uiPriority w:val="9"/>
    <w:rsid w:val="00D801C5"/>
    <w:rPr>
      <w:rFonts w:asciiTheme="majorHAnsi" w:eastAsiaTheme="majorEastAsia" w:hAnsiTheme="majorHAnsi" w:cstheme="majorBidi"/>
      <w:color w:val="365F91" w:themeColor="accent1" w:themeShade="BF"/>
      <w:sz w:val="32"/>
      <w:szCs w:val="32"/>
    </w:rPr>
  </w:style>
  <w:style w:type="paragraph" w:customStyle="1" w:styleId="ConsPlusNormal">
    <w:name w:val="ConsPlusNormal"/>
    <w:qFormat/>
    <w:rsid w:val="00D801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9F0551"/>
    <w:rPr>
      <w:rFonts w:ascii="Tahoma" w:hAnsi="Tahoma" w:cs="Tahoma"/>
      <w:sz w:val="16"/>
      <w:szCs w:val="16"/>
    </w:rPr>
  </w:style>
  <w:style w:type="character" w:customStyle="1" w:styleId="ad">
    <w:name w:val="Текст выноски Знак"/>
    <w:basedOn w:val="a0"/>
    <w:link w:val="ac"/>
    <w:uiPriority w:val="99"/>
    <w:semiHidden/>
    <w:rsid w:val="009F0551"/>
    <w:rPr>
      <w:rFonts w:ascii="Tahoma" w:eastAsia="Times New Roman" w:hAnsi="Tahoma" w:cs="Tahoma"/>
      <w:sz w:val="16"/>
      <w:szCs w:val="16"/>
      <w:lang w:eastAsia="ru-RU"/>
    </w:rPr>
  </w:style>
  <w:style w:type="paragraph" w:styleId="ae">
    <w:name w:val="No Spacing"/>
    <w:link w:val="af"/>
    <w:uiPriority w:val="1"/>
    <w:qFormat/>
    <w:rsid w:val="00F94900"/>
    <w:pPr>
      <w:spacing w:after="0" w:line="240" w:lineRule="auto"/>
    </w:pPr>
    <w:rPr>
      <w:rFonts w:ascii="Calibri" w:eastAsia="Times New Roman" w:hAnsi="Calibri" w:cs="Times New Roman"/>
      <w:lang w:eastAsia="ru-RU"/>
    </w:rPr>
  </w:style>
  <w:style w:type="character" w:customStyle="1" w:styleId="af">
    <w:name w:val="Без интервала Знак"/>
    <w:basedOn w:val="a0"/>
    <w:link w:val="ae"/>
    <w:uiPriority w:val="1"/>
    <w:locked/>
    <w:rsid w:val="00F94900"/>
    <w:rPr>
      <w:rFonts w:ascii="Calibri" w:eastAsia="Times New Roman" w:hAnsi="Calibri" w:cs="Times New Roman"/>
      <w:lang w:eastAsia="ru-RU"/>
    </w:rPr>
  </w:style>
  <w:style w:type="paragraph" w:styleId="af0">
    <w:name w:val="Body Text Indent"/>
    <w:basedOn w:val="a"/>
    <w:link w:val="af1"/>
    <w:uiPriority w:val="99"/>
    <w:semiHidden/>
    <w:unhideWhenUsed/>
    <w:rsid w:val="00581880"/>
    <w:pPr>
      <w:spacing w:after="120"/>
      <w:ind w:left="283"/>
    </w:pPr>
  </w:style>
  <w:style w:type="character" w:customStyle="1" w:styleId="af1">
    <w:name w:val="Основной текст с отступом Знак"/>
    <w:basedOn w:val="a0"/>
    <w:link w:val="af0"/>
    <w:uiPriority w:val="99"/>
    <w:semiHidden/>
    <w:rsid w:val="00581880"/>
    <w:rPr>
      <w:rFonts w:ascii="Times New Roman" w:eastAsia="Times New Roman" w:hAnsi="Times New Roman" w:cs="Times New Roman"/>
      <w:sz w:val="24"/>
      <w:szCs w:val="24"/>
      <w:lang w:eastAsia="ru-RU"/>
    </w:rPr>
  </w:style>
  <w:style w:type="paragraph" w:styleId="af2">
    <w:name w:val="Subtitle"/>
    <w:basedOn w:val="a"/>
    <w:link w:val="af3"/>
    <w:qFormat/>
    <w:rsid w:val="00581880"/>
    <w:pPr>
      <w:spacing w:line="360" w:lineRule="auto"/>
    </w:pPr>
    <w:rPr>
      <w:szCs w:val="20"/>
    </w:rPr>
  </w:style>
  <w:style w:type="character" w:customStyle="1" w:styleId="af3">
    <w:name w:val="Подзаголовок Знак"/>
    <w:basedOn w:val="a0"/>
    <w:link w:val="af2"/>
    <w:rsid w:val="0058188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164">
      <w:bodyDiv w:val="1"/>
      <w:marLeft w:val="0"/>
      <w:marRight w:val="0"/>
      <w:marTop w:val="0"/>
      <w:marBottom w:val="0"/>
      <w:divBdr>
        <w:top w:val="none" w:sz="0" w:space="0" w:color="auto"/>
        <w:left w:val="none" w:sz="0" w:space="0" w:color="auto"/>
        <w:bottom w:val="none" w:sz="0" w:space="0" w:color="auto"/>
        <w:right w:val="none" w:sz="0" w:space="0" w:color="auto"/>
      </w:divBdr>
    </w:div>
    <w:div w:id="61830990">
      <w:bodyDiv w:val="1"/>
      <w:marLeft w:val="0"/>
      <w:marRight w:val="0"/>
      <w:marTop w:val="0"/>
      <w:marBottom w:val="0"/>
      <w:divBdr>
        <w:top w:val="none" w:sz="0" w:space="0" w:color="auto"/>
        <w:left w:val="none" w:sz="0" w:space="0" w:color="auto"/>
        <w:bottom w:val="none" w:sz="0" w:space="0" w:color="auto"/>
        <w:right w:val="none" w:sz="0" w:space="0" w:color="auto"/>
      </w:divBdr>
    </w:div>
    <w:div w:id="247160118">
      <w:bodyDiv w:val="1"/>
      <w:marLeft w:val="0"/>
      <w:marRight w:val="0"/>
      <w:marTop w:val="0"/>
      <w:marBottom w:val="0"/>
      <w:divBdr>
        <w:top w:val="none" w:sz="0" w:space="0" w:color="auto"/>
        <w:left w:val="none" w:sz="0" w:space="0" w:color="auto"/>
        <w:bottom w:val="none" w:sz="0" w:space="0" w:color="auto"/>
        <w:right w:val="none" w:sz="0" w:space="0" w:color="auto"/>
      </w:divBdr>
    </w:div>
    <w:div w:id="346449029">
      <w:bodyDiv w:val="1"/>
      <w:marLeft w:val="0"/>
      <w:marRight w:val="0"/>
      <w:marTop w:val="0"/>
      <w:marBottom w:val="0"/>
      <w:divBdr>
        <w:top w:val="none" w:sz="0" w:space="0" w:color="auto"/>
        <w:left w:val="none" w:sz="0" w:space="0" w:color="auto"/>
        <w:bottom w:val="none" w:sz="0" w:space="0" w:color="auto"/>
        <w:right w:val="none" w:sz="0" w:space="0" w:color="auto"/>
      </w:divBdr>
    </w:div>
    <w:div w:id="1412661236">
      <w:bodyDiv w:val="1"/>
      <w:marLeft w:val="0"/>
      <w:marRight w:val="0"/>
      <w:marTop w:val="0"/>
      <w:marBottom w:val="0"/>
      <w:divBdr>
        <w:top w:val="none" w:sz="0" w:space="0" w:color="auto"/>
        <w:left w:val="none" w:sz="0" w:space="0" w:color="auto"/>
        <w:bottom w:val="none" w:sz="0" w:space="0" w:color="auto"/>
        <w:right w:val="none" w:sz="0" w:space="0" w:color="auto"/>
      </w:divBdr>
      <w:divsChild>
        <w:div w:id="150222866">
          <w:marLeft w:val="0"/>
          <w:marRight w:val="0"/>
          <w:marTop w:val="0"/>
          <w:marBottom w:val="0"/>
          <w:divBdr>
            <w:top w:val="none" w:sz="0" w:space="0" w:color="auto"/>
            <w:left w:val="none" w:sz="0" w:space="0" w:color="auto"/>
            <w:bottom w:val="none" w:sz="0" w:space="0" w:color="auto"/>
            <w:right w:val="none" w:sz="0" w:space="0" w:color="auto"/>
          </w:divBdr>
        </w:div>
        <w:div w:id="621692031">
          <w:marLeft w:val="0"/>
          <w:marRight w:val="0"/>
          <w:marTop w:val="0"/>
          <w:marBottom w:val="0"/>
          <w:divBdr>
            <w:top w:val="none" w:sz="0" w:space="0" w:color="auto"/>
            <w:left w:val="none" w:sz="0" w:space="0" w:color="auto"/>
            <w:bottom w:val="none" w:sz="0" w:space="0" w:color="auto"/>
            <w:right w:val="none" w:sz="0" w:space="0" w:color="auto"/>
          </w:divBdr>
        </w:div>
        <w:div w:id="1567837323">
          <w:marLeft w:val="0"/>
          <w:marRight w:val="0"/>
          <w:marTop w:val="0"/>
          <w:marBottom w:val="0"/>
          <w:divBdr>
            <w:top w:val="none" w:sz="0" w:space="0" w:color="auto"/>
            <w:left w:val="none" w:sz="0" w:space="0" w:color="auto"/>
            <w:bottom w:val="none" w:sz="0" w:space="0" w:color="auto"/>
            <w:right w:val="none" w:sz="0" w:space="0" w:color="auto"/>
          </w:divBdr>
        </w:div>
        <w:div w:id="245579786">
          <w:marLeft w:val="0"/>
          <w:marRight w:val="0"/>
          <w:marTop w:val="0"/>
          <w:marBottom w:val="0"/>
          <w:divBdr>
            <w:top w:val="none" w:sz="0" w:space="0" w:color="auto"/>
            <w:left w:val="none" w:sz="0" w:space="0" w:color="auto"/>
            <w:bottom w:val="none" w:sz="0" w:space="0" w:color="auto"/>
            <w:right w:val="none" w:sz="0" w:space="0" w:color="auto"/>
          </w:divBdr>
        </w:div>
      </w:divsChild>
    </w:div>
    <w:div w:id="21079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1819-51B6-488E-8982-72163BC0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Pages>
  <Words>2645</Words>
  <Characters>15078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ZarbalievaEM</dc:creator>
  <cp:lastModifiedBy>Александрова Ирина Юрьевна</cp:lastModifiedBy>
  <cp:revision>69</cp:revision>
  <cp:lastPrinted>2017-09-01T05:34:00Z</cp:lastPrinted>
  <dcterms:created xsi:type="dcterms:W3CDTF">2019-08-20T10:29:00Z</dcterms:created>
  <dcterms:modified xsi:type="dcterms:W3CDTF">2020-08-31T07:07:00Z</dcterms:modified>
</cp:coreProperties>
</file>